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0340" w:rsidRDefault="00EE6735">
      <w:pPr>
        <w:spacing w:after="0"/>
        <w:rPr>
          <w:b/>
          <w:sz w:val="28"/>
          <w:szCs w:val="28"/>
        </w:rPr>
      </w:pPr>
      <w:r>
        <w:rPr>
          <w:b/>
          <w:sz w:val="28"/>
          <w:szCs w:val="28"/>
        </w:rPr>
        <w:t xml:space="preserve"> </w:t>
      </w:r>
    </w:p>
    <w:p w:rsidR="00310340" w:rsidRDefault="00EE6735">
      <w:pPr>
        <w:spacing w:after="0"/>
        <w:jc w:val="center"/>
        <w:rPr>
          <w:b/>
          <w:sz w:val="28"/>
          <w:szCs w:val="28"/>
        </w:rPr>
      </w:pPr>
      <w:r>
        <w:rPr>
          <w:b/>
          <w:sz w:val="28"/>
          <w:szCs w:val="28"/>
        </w:rPr>
        <w:t>Sprawozdanie z działalności</w:t>
      </w:r>
    </w:p>
    <w:p w:rsidR="00310340" w:rsidRDefault="00EE6735">
      <w:pPr>
        <w:spacing w:after="0"/>
        <w:jc w:val="center"/>
        <w:rPr>
          <w:b/>
          <w:sz w:val="28"/>
          <w:szCs w:val="28"/>
        </w:rPr>
      </w:pPr>
      <w:r>
        <w:rPr>
          <w:b/>
          <w:sz w:val="28"/>
          <w:szCs w:val="28"/>
        </w:rPr>
        <w:t>Zarządu LGD Stowarzyszenia Lider Pojezierza</w:t>
      </w:r>
    </w:p>
    <w:p w:rsidR="00310340" w:rsidRDefault="00EE6735">
      <w:pPr>
        <w:spacing w:after="0"/>
        <w:jc w:val="center"/>
        <w:rPr>
          <w:b/>
          <w:sz w:val="28"/>
          <w:szCs w:val="28"/>
        </w:rPr>
      </w:pPr>
      <w:r>
        <w:rPr>
          <w:b/>
          <w:sz w:val="28"/>
          <w:szCs w:val="28"/>
        </w:rPr>
        <w:t>za rok 2016</w:t>
      </w:r>
    </w:p>
    <w:p w:rsidR="00310340" w:rsidRDefault="00310340">
      <w:pPr>
        <w:spacing w:after="0"/>
        <w:jc w:val="both"/>
        <w:rPr>
          <w:b/>
          <w:sz w:val="24"/>
          <w:szCs w:val="24"/>
        </w:rPr>
      </w:pPr>
    </w:p>
    <w:p w:rsidR="00310340" w:rsidRDefault="00310340">
      <w:pPr>
        <w:spacing w:after="0"/>
        <w:jc w:val="both"/>
        <w:rPr>
          <w:b/>
          <w:sz w:val="24"/>
          <w:szCs w:val="24"/>
        </w:rPr>
      </w:pPr>
    </w:p>
    <w:p w:rsidR="00310340" w:rsidRDefault="00EE6735">
      <w:pPr>
        <w:spacing w:after="0"/>
        <w:jc w:val="both"/>
        <w:rPr>
          <w:b/>
          <w:sz w:val="24"/>
          <w:szCs w:val="24"/>
        </w:rPr>
      </w:pPr>
      <w:r>
        <w:rPr>
          <w:b/>
          <w:sz w:val="24"/>
          <w:szCs w:val="24"/>
        </w:rPr>
        <w:t>1. Skład i organizacja pracy Zarządu:</w:t>
      </w:r>
    </w:p>
    <w:p w:rsidR="00310340" w:rsidRDefault="00EE6735">
      <w:pPr>
        <w:spacing w:after="0"/>
        <w:ind w:left="284"/>
        <w:jc w:val="both"/>
        <w:rPr>
          <w:sz w:val="24"/>
          <w:szCs w:val="24"/>
        </w:rPr>
      </w:pPr>
      <w:r>
        <w:rPr>
          <w:sz w:val="24"/>
          <w:szCs w:val="24"/>
        </w:rPr>
        <w:t xml:space="preserve">Zarząd został wybrany przez XIX Walne Zgromadzenie Członków Stowarzyszenia w dniu 12 czerwca 2015 roku.  </w:t>
      </w:r>
    </w:p>
    <w:p w:rsidR="00310340" w:rsidRDefault="00EE6735">
      <w:pPr>
        <w:spacing w:after="0"/>
        <w:ind w:left="284"/>
        <w:jc w:val="both"/>
        <w:rPr>
          <w:sz w:val="24"/>
          <w:szCs w:val="24"/>
        </w:rPr>
      </w:pPr>
      <w:r>
        <w:rPr>
          <w:sz w:val="24"/>
          <w:szCs w:val="24"/>
        </w:rPr>
        <w:t>Skład zarządu:</w:t>
      </w:r>
    </w:p>
    <w:p w:rsidR="00310340" w:rsidRDefault="00EE6735">
      <w:pPr>
        <w:numPr>
          <w:ilvl w:val="0"/>
          <w:numId w:val="7"/>
        </w:numPr>
        <w:spacing w:after="0"/>
        <w:ind w:hanging="360"/>
        <w:contextualSpacing/>
        <w:jc w:val="both"/>
        <w:rPr>
          <w:sz w:val="24"/>
          <w:szCs w:val="24"/>
        </w:rPr>
      </w:pPr>
      <w:r>
        <w:rPr>
          <w:sz w:val="24"/>
          <w:szCs w:val="24"/>
        </w:rPr>
        <w:t>Prezes – Adam Andriaszkiewicz</w:t>
      </w:r>
    </w:p>
    <w:p w:rsidR="00310340" w:rsidRDefault="00EE6735">
      <w:pPr>
        <w:numPr>
          <w:ilvl w:val="0"/>
          <w:numId w:val="7"/>
        </w:numPr>
        <w:spacing w:after="0"/>
        <w:ind w:hanging="360"/>
        <w:contextualSpacing/>
        <w:jc w:val="both"/>
        <w:rPr>
          <w:sz w:val="24"/>
          <w:szCs w:val="24"/>
        </w:rPr>
      </w:pPr>
      <w:r>
        <w:rPr>
          <w:sz w:val="24"/>
          <w:szCs w:val="24"/>
        </w:rPr>
        <w:t>Wiceprezes – Ireneusz kostka</w:t>
      </w:r>
    </w:p>
    <w:p w:rsidR="00310340" w:rsidRDefault="00EE6735">
      <w:pPr>
        <w:numPr>
          <w:ilvl w:val="0"/>
          <w:numId w:val="7"/>
        </w:numPr>
        <w:spacing w:after="0"/>
        <w:ind w:hanging="360"/>
        <w:contextualSpacing/>
        <w:jc w:val="both"/>
        <w:rPr>
          <w:sz w:val="24"/>
          <w:szCs w:val="24"/>
        </w:rPr>
      </w:pPr>
      <w:r>
        <w:rPr>
          <w:sz w:val="24"/>
          <w:szCs w:val="24"/>
        </w:rPr>
        <w:t>Skarbnik – Krzysztof Szabatowski</w:t>
      </w:r>
    </w:p>
    <w:p w:rsidR="00310340" w:rsidRDefault="00EE6735">
      <w:pPr>
        <w:numPr>
          <w:ilvl w:val="0"/>
          <w:numId w:val="7"/>
        </w:numPr>
        <w:spacing w:after="0"/>
        <w:ind w:hanging="360"/>
        <w:contextualSpacing/>
        <w:jc w:val="both"/>
        <w:rPr>
          <w:sz w:val="24"/>
          <w:szCs w:val="24"/>
        </w:rPr>
      </w:pPr>
      <w:r>
        <w:rPr>
          <w:sz w:val="24"/>
          <w:szCs w:val="24"/>
        </w:rPr>
        <w:t>Sekretarz – Magdalena Baczyńska-</w:t>
      </w:r>
      <w:proofErr w:type="spellStart"/>
      <w:r>
        <w:rPr>
          <w:sz w:val="24"/>
          <w:szCs w:val="24"/>
        </w:rPr>
        <w:t>Warżała</w:t>
      </w:r>
      <w:proofErr w:type="spellEnd"/>
    </w:p>
    <w:p w:rsidR="00310340" w:rsidRDefault="00EE6735">
      <w:pPr>
        <w:spacing w:after="0"/>
        <w:ind w:left="360"/>
        <w:jc w:val="both"/>
        <w:rPr>
          <w:sz w:val="24"/>
          <w:szCs w:val="24"/>
        </w:rPr>
      </w:pPr>
      <w:r>
        <w:rPr>
          <w:sz w:val="24"/>
          <w:szCs w:val="24"/>
        </w:rPr>
        <w:t>Członkowie Zarządu:</w:t>
      </w:r>
    </w:p>
    <w:p w:rsidR="00310340" w:rsidRDefault="00EE6735">
      <w:pPr>
        <w:numPr>
          <w:ilvl w:val="0"/>
          <w:numId w:val="7"/>
        </w:numPr>
        <w:spacing w:after="0"/>
        <w:ind w:hanging="360"/>
        <w:contextualSpacing/>
        <w:jc w:val="both"/>
        <w:rPr>
          <w:sz w:val="24"/>
          <w:szCs w:val="24"/>
        </w:rPr>
      </w:pPr>
      <w:r>
        <w:rPr>
          <w:sz w:val="24"/>
          <w:szCs w:val="24"/>
        </w:rPr>
        <w:t>Krzysztof Wiklak</w:t>
      </w:r>
    </w:p>
    <w:p w:rsidR="00310340" w:rsidRDefault="00EE6735">
      <w:pPr>
        <w:numPr>
          <w:ilvl w:val="0"/>
          <w:numId w:val="7"/>
        </w:numPr>
        <w:spacing w:after="0"/>
        <w:ind w:hanging="360"/>
        <w:contextualSpacing/>
        <w:jc w:val="both"/>
        <w:rPr>
          <w:sz w:val="24"/>
          <w:szCs w:val="24"/>
        </w:rPr>
      </w:pPr>
      <w:r>
        <w:rPr>
          <w:sz w:val="24"/>
          <w:szCs w:val="24"/>
        </w:rPr>
        <w:t>Wojciech Czepułkowski</w:t>
      </w:r>
    </w:p>
    <w:p w:rsidR="00310340" w:rsidRDefault="00EE6735">
      <w:pPr>
        <w:numPr>
          <w:ilvl w:val="0"/>
          <w:numId w:val="7"/>
        </w:numPr>
        <w:spacing w:after="0"/>
        <w:ind w:hanging="360"/>
        <w:contextualSpacing/>
        <w:jc w:val="both"/>
        <w:rPr>
          <w:sz w:val="24"/>
          <w:szCs w:val="24"/>
        </w:rPr>
      </w:pPr>
      <w:r>
        <w:rPr>
          <w:sz w:val="24"/>
          <w:szCs w:val="24"/>
        </w:rPr>
        <w:t>Sylwia Leśniak</w:t>
      </w:r>
    </w:p>
    <w:p w:rsidR="00310340" w:rsidRDefault="00EE6735">
      <w:pPr>
        <w:numPr>
          <w:ilvl w:val="0"/>
          <w:numId w:val="7"/>
        </w:numPr>
        <w:spacing w:after="0"/>
        <w:ind w:hanging="360"/>
        <w:contextualSpacing/>
        <w:jc w:val="both"/>
        <w:rPr>
          <w:sz w:val="24"/>
          <w:szCs w:val="24"/>
        </w:rPr>
      </w:pPr>
      <w:r>
        <w:rPr>
          <w:sz w:val="24"/>
          <w:szCs w:val="24"/>
        </w:rPr>
        <w:t xml:space="preserve">Ewelina </w:t>
      </w:r>
      <w:proofErr w:type="spellStart"/>
      <w:r>
        <w:rPr>
          <w:sz w:val="24"/>
          <w:szCs w:val="24"/>
        </w:rPr>
        <w:t>Mazurak</w:t>
      </w:r>
      <w:proofErr w:type="spellEnd"/>
      <w:r>
        <w:rPr>
          <w:sz w:val="24"/>
          <w:szCs w:val="24"/>
        </w:rPr>
        <w:t>-Januchowska</w:t>
      </w:r>
    </w:p>
    <w:p w:rsidR="00310340" w:rsidRDefault="00EE6735">
      <w:pPr>
        <w:numPr>
          <w:ilvl w:val="0"/>
          <w:numId w:val="7"/>
        </w:numPr>
        <w:spacing w:after="0"/>
        <w:ind w:hanging="360"/>
        <w:contextualSpacing/>
        <w:jc w:val="both"/>
        <w:rPr>
          <w:sz w:val="24"/>
          <w:szCs w:val="24"/>
        </w:rPr>
      </w:pPr>
      <w:r>
        <w:rPr>
          <w:sz w:val="24"/>
          <w:szCs w:val="24"/>
        </w:rPr>
        <w:t>Janusz Cielecki a od 18.01.2017 roku Anna Garzyńska</w:t>
      </w:r>
    </w:p>
    <w:p w:rsidR="00310340" w:rsidRDefault="00310340">
      <w:pPr>
        <w:spacing w:after="0"/>
        <w:jc w:val="both"/>
        <w:rPr>
          <w:color w:val="FF0000"/>
          <w:sz w:val="24"/>
          <w:szCs w:val="24"/>
        </w:rPr>
      </w:pPr>
    </w:p>
    <w:p w:rsidR="00310340" w:rsidRDefault="00EE6735">
      <w:pPr>
        <w:tabs>
          <w:tab w:val="left" w:pos="284"/>
        </w:tabs>
        <w:spacing w:after="0"/>
        <w:ind w:left="284" w:firstLine="567"/>
        <w:jc w:val="both"/>
        <w:rPr>
          <w:sz w:val="24"/>
          <w:szCs w:val="24"/>
        </w:rPr>
      </w:pPr>
      <w:r>
        <w:rPr>
          <w:sz w:val="24"/>
          <w:szCs w:val="24"/>
        </w:rPr>
        <w:t xml:space="preserve">W okresie sprawozdawczym Zarząd odbył 12 formalnych posiedzeń, w tym jedno dwudniowe (06 i 14 lipca 2016 r.). Poza tym członkowie Zarządu uzgadniali, konsultowali i opiniowali wiele spraw bieżących, będąc w kontakcie telefonicznym i mailowym. </w:t>
      </w:r>
      <w:r w:rsidR="00526B21">
        <w:rPr>
          <w:sz w:val="24"/>
          <w:szCs w:val="24"/>
        </w:rPr>
        <w:t>W roku</w:t>
      </w:r>
      <w:r>
        <w:rPr>
          <w:sz w:val="24"/>
          <w:szCs w:val="24"/>
        </w:rPr>
        <w:t xml:space="preserve"> sprawozdawczym Zarząd podjął 23 uchwały. </w:t>
      </w:r>
    </w:p>
    <w:p w:rsidR="00310340" w:rsidRDefault="00EE6735">
      <w:pPr>
        <w:tabs>
          <w:tab w:val="left" w:pos="284"/>
        </w:tabs>
        <w:spacing w:after="0"/>
        <w:ind w:left="284" w:firstLine="567"/>
        <w:jc w:val="both"/>
        <w:rPr>
          <w:sz w:val="24"/>
          <w:szCs w:val="24"/>
        </w:rPr>
      </w:pPr>
      <w:r>
        <w:rPr>
          <w:sz w:val="24"/>
          <w:szCs w:val="24"/>
        </w:rPr>
        <w:t xml:space="preserve">W 2016 roku zwołano dwa wspólne Zarządy dwóch Stowarzyszeń biorących udział </w:t>
      </w:r>
      <w:r w:rsidR="00A723CC">
        <w:rPr>
          <w:sz w:val="24"/>
          <w:szCs w:val="24"/>
        </w:rPr>
        <w:br/>
      </w:r>
      <w:r>
        <w:rPr>
          <w:sz w:val="24"/>
          <w:szCs w:val="24"/>
        </w:rPr>
        <w:t xml:space="preserve">w realizacji LSR tj. Zarząd naszego </w:t>
      </w:r>
      <w:r w:rsidR="00526B21">
        <w:rPr>
          <w:sz w:val="24"/>
          <w:szCs w:val="24"/>
        </w:rPr>
        <w:t>Stowarzyszenia i</w:t>
      </w:r>
      <w:r>
        <w:rPr>
          <w:sz w:val="24"/>
          <w:szCs w:val="24"/>
        </w:rPr>
        <w:t xml:space="preserve"> Zarząd LGR Stowarzyszenia „Partnerstwo Jezior”, podczas których ustalano </w:t>
      </w:r>
      <w:r w:rsidR="00526B21">
        <w:rPr>
          <w:sz w:val="24"/>
          <w:szCs w:val="24"/>
        </w:rPr>
        <w:t>realizację celów</w:t>
      </w:r>
      <w:r>
        <w:rPr>
          <w:sz w:val="24"/>
          <w:szCs w:val="24"/>
        </w:rPr>
        <w:t xml:space="preserve"> w LSR dla obszarów zależnych od rybactwa na obszarze wdrażania LSR.</w:t>
      </w:r>
    </w:p>
    <w:p w:rsidR="00310340" w:rsidRDefault="00EE6735">
      <w:pPr>
        <w:tabs>
          <w:tab w:val="left" w:pos="284"/>
        </w:tabs>
        <w:spacing w:after="0"/>
        <w:ind w:left="284" w:firstLine="567"/>
        <w:jc w:val="both"/>
        <w:rPr>
          <w:sz w:val="24"/>
          <w:szCs w:val="24"/>
        </w:rPr>
      </w:pPr>
      <w:r>
        <w:rPr>
          <w:sz w:val="24"/>
          <w:szCs w:val="24"/>
        </w:rPr>
        <w:t>Zarząd przygotował i zwołał jedno Walne Zebrania Członków w dniu 23.05.2016 roku.</w:t>
      </w:r>
    </w:p>
    <w:p w:rsidR="00310340" w:rsidRDefault="00310340">
      <w:pPr>
        <w:tabs>
          <w:tab w:val="left" w:pos="284"/>
        </w:tabs>
        <w:spacing w:after="0"/>
        <w:ind w:left="284" w:firstLine="567"/>
        <w:jc w:val="both"/>
        <w:rPr>
          <w:sz w:val="24"/>
          <w:szCs w:val="24"/>
        </w:rPr>
      </w:pPr>
    </w:p>
    <w:p w:rsidR="00310340" w:rsidRDefault="00310340">
      <w:pPr>
        <w:spacing w:after="0"/>
        <w:jc w:val="both"/>
        <w:rPr>
          <w:sz w:val="24"/>
          <w:szCs w:val="24"/>
        </w:rPr>
      </w:pPr>
    </w:p>
    <w:p w:rsidR="00310340" w:rsidRDefault="00EE6735">
      <w:pPr>
        <w:spacing w:after="0"/>
        <w:jc w:val="both"/>
        <w:rPr>
          <w:b/>
          <w:sz w:val="24"/>
          <w:szCs w:val="24"/>
        </w:rPr>
      </w:pPr>
      <w:r>
        <w:rPr>
          <w:b/>
          <w:sz w:val="24"/>
          <w:szCs w:val="24"/>
        </w:rPr>
        <w:t>2. Członkowie stowarzyszenia</w:t>
      </w:r>
    </w:p>
    <w:p w:rsidR="00310340" w:rsidRPr="00544BAC" w:rsidRDefault="00544BAC">
      <w:pPr>
        <w:spacing w:after="0"/>
        <w:ind w:left="284"/>
        <w:jc w:val="both"/>
        <w:rPr>
          <w:color w:val="auto"/>
          <w:sz w:val="24"/>
          <w:szCs w:val="24"/>
        </w:rPr>
      </w:pPr>
      <w:r w:rsidRPr="00544BAC">
        <w:rPr>
          <w:color w:val="auto"/>
          <w:sz w:val="24"/>
          <w:szCs w:val="24"/>
        </w:rPr>
        <w:t xml:space="preserve">W 2016 r. </w:t>
      </w:r>
      <w:r w:rsidR="00EE6735" w:rsidRPr="00544BAC">
        <w:rPr>
          <w:color w:val="auto"/>
          <w:sz w:val="24"/>
          <w:szCs w:val="24"/>
        </w:rPr>
        <w:t xml:space="preserve">Zarząd przyjął 4 nowych </w:t>
      </w:r>
      <w:r>
        <w:rPr>
          <w:color w:val="auto"/>
          <w:sz w:val="24"/>
          <w:szCs w:val="24"/>
        </w:rPr>
        <w:t>członków Stowarzyszenia tj. 1 osobę fizyczną</w:t>
      </w:r>
      <w:r w:rsidR="00EE6735" w:rsidRPr="00544BAC">
        <w:rPr>
          <w:color w:val="auto"/>
          <w:sz w:val="24"/>
          <w:szCs w:val="24"/>
        </w:rPr>
        <w:t xml:space="preserve"> i 3 osoby prawne oraz skreślił z listy członków 2 osoby fizyczne i 1 osobę prawną z powodu nieuregulowania składek członkowskich, a jedną osobę fizyczną na skutek rezygnacji</w:t>
      </w:r>
      <w:r>
        <w:rPr>
          <w:color w:val="auto"/>
          <w:sz w:val="24"/>
          <w:szCs w:val="24"/>
        </w:rPr>
        <w:t xml:space="preserve"> </w:t>
      </w:r>
      <w:r w:rsidR="00A723CC">
        <w:rPr>
          <w:color w:val="auto"/>
          <w:sz w:val="24"/>
          <w:szCs w:val="24"/>
        </w:rPr>
        <w:br/>
      </w:r>
      <w:r>
        <w:rPr>
          <w:color w:val="auto"/>
          <w:sz w:val="24"/>
          <w:szCs w:val="24"/>
        </w:rPr>
        <w:t>z członkostwa</w:t>
      </w:r>
      <w:r w:rsidR="00EE6735" w:rsidRPr="00544BAC">
        <w:rPr>
          <w:color w:val="auto"/>
          <w:sz w:val="24"/>
          <w:szCs w:val="24"/>
        </w:rPr>
        <w:t xml:space="preserve">. Obecnie Stowarzyszenie “Lider </w:t>
      </w:r>
      <w:r w:rsidR="00526B21" w:rsidRPr="00544BAC">
        <w:rPr>
          <w:color w:val="auto"/>
          <w:sz w:val="24"/>
          <w:szCs w:val="24"/>
        </w:rPr>
        <w:t>Pojezierza” liczy</w:t>
      </w:r>
      <w:r w:rsidR="00EE6735" w:rsidRPr="00544BAC">
        <w:rPr>
          <w:color w:val="auto"/>
          <w:sz w:val="24"/>
          <w:szCs w:val="24"/>
        </w:rPr>
        <w:t xml:space="preserve"> 127 członków.</w:t>
      </w:r>
    </w:p>
    <w:p w:rsidR="00310340" w:rsidRDefault="00310340">
      <w:pPr>
        <w:spacing w:after="0"/>
        <w:jc w:val="both"/>
        <w:rPr>
          <w:b/>
          <w:sz w:val="24"/>
          <w:szCs w:val="24"/>
        </w:rPr>
      </w:pPr>
    </w:p>
    <w:p w:rsidR="00310340" w:rsidRDefault="00EE6735">
      <w:pPr>
        <w:spacing w:after="0"/>
        <w:jc w:val="both"/>
        <w:rPr>
          <w:b/>
          <w:sz w:val="24"/>
          <w:szCs w:val="24"/>
        </w:rPr>
      </w:pPr>
      <w:r>
        <w:rPr>
          <w:b/>
          <w:sz w:val="24"/>
          <w:szCs w:val="24"/>
        </w:rPr>
        <w:t>3. Biuro Stowarzyszenia Lider Pojezierza</w:t>
      </w:r>
    </w:p>
    <w:p w:rsidR="00310340" w:rsidRDefault="00A723CC">
      <w:pPr>
        <w:spacing w:after="0"/>
        <w:ind w:left="284"/>
        <w:jc w:val="both"/>
        <w:rPr>
          <w:sz w:val="24"/>
          <w:szCs w:val="24"/>
        </w:rPr>
      </w:pPr>
      <w:r>
        <w:rPr>
          <w:sz w:val="24"/>
          <w:szCs w:val="24"/>
        </w:rPr>
        <w:t>W B</w:t>
      </w:r>
      <w:r w:rsidR="00EE6735">
        <w:rPr>
          <w:sz w:val="24"/>
          <w:szCs w:val="24"/>
        </w:rPr>
        <w:t>iurze LGD zatrudnionych było w ramach umowy o pracę</w:t>
      </w:r>
      <w:r>
        <w:rPr>
          <w:sz w:val="24"/>
          <w:szCs w:val="24"/>
        </w:rPr>
        <w:t xml:space="preserve">, </w:t>
      </w:r>
      <w:r w:rsidR="00EE6735">
        <w:rPr>
          <w:sz w:val="24"/>
          <w:szCs w:val="24"/>
        </w:rPr>
        <w:t xml:space="preserve">zgodnie z regulaminem </w:t>
      </w:r>
      <w:r w:rsidR="00544BAC">
        <w:rPr>
          <w:sz w:val="24"/>
          <w:szCs w:val="24"/>
        </w:rPr>
        <w:t>B</w:t>
      </w:r>
      <w:r w:rsidR="00EE6735">
        <w:rPr>
          <w:sz w:val="24"/>
          <w:szCs w:val="24"/>
        </w:rPr>
        <w:t xml:space="preserve">iura </w:t>
      </w:r>
      <w:r w:rsidR="00EE6735">
        <w:rPr>
          <w:sz w:val="24"/>
          <w:szCs w:val="24"/>
        </w:rPr>
        <w:lastRenderedPageBreak/>
        <w:t>LGD:</w:t>
      </w:r>
    </w:p>
    <w:p w:rsidR="00310340" w:rsidRDefault="00EE6735">
      <w:pPr>
        <w:spacing w:after="0"/>
        <w:ind w:left="284"/>
        <w:jc w:val="both"/>
        <w:rPr>
          <w:sz w:val="24"/>
          <w:szCs w:val="24"/>
        </w:rPr>
      </w:pPr>
      <w:r>
        <w:rPr>
          <w:sz w:val="24"/>
          <w:szCs w:val="24"/>
        </w:rPr>
        <w:t>1. Katarzyna Węgierska.</w:t>
      </w:r>
    </w:p>
    <w:p w:rsidR="00310340" w:rsidRDefault="00EE6735">
      <w:pPr>
        <w:spacing w:after="0"/>
        <w:ind w:left="284"/>
        <w:jc w:val="both"/>
        <w:rPr>
          <w:sz w:val="24"/>
          <w:szCs w:val="24"/>
        </w:rPr>
      </w:pPr>
      <w:r>
        <w:rPr>
          <w:sz w:val="24"/>
          <w:szCs w:val="24"/>
        </w:rPr>
        <w:t>2. Justyna Mariańska.</w:t>
      </w:r>
    </w:p>
    <w:p w:rsidR="00310340" w:rsidRDefault="00EE6735">
      <w:pPr>
        <w:spacing w:after="0"/>
        <w:ind w:left="284"/>
        <w:jc w:val="both"/>
        <w:rPr>
          <w:sz w:val="24"/>
          <w:szCs w:val="24"/>
        </w:rPr>
      </w:pPr>
      <w:r>
        <w:rPr>
          <w:sz w:val="24"/>
          <w:szCs w:val="24"/>
        </w:rPr>
        <w:t xml:space="preserve">3. Ireneusz Kostka. </w:t>
      </w:r>
    </w:p>
    <w:p w:rsidR="00310340" w:rsidRDefault="00EE6735">
      <w:pPr>
        <w:spacing w:after="0"/>
        <w:ind w:left="284"/>
        <w:jc w:val="both"/>
        <w:rPr>
          <w:sz w:val="24"/>
          <w:szCs w:val="24"/>
        </w:rPr>
      </w:pPr>
      <w:r>
        <w:rPr>
          <w:sz w:val="24"/>
          <w:szCs w:val="24"/>
        </w:rPr>
        <w:t>4. Leopold Ochalik – były pracownik LGR „Partnerstwo Jezior”; zatrudniony 01.05.2016 r.</w:t>
      </w:r>
    </w:p>
    <w:p w:rsidR="00310340" w:rsidRDefault="00EE6735">
      <w:pPr>
        <w:spacing w:after="0"/>
        <w:ind w:left="284"/>
        <w:jc w:val="both"/>
        <w:rPr>
          <w:sz w:val="24"/>
          <w:szCs w:val="24"/>
        </w:rPr>
      </w:pPr>
      <w:r>
        <w:rPr>
          <w:sz w:val="24"/>
          <w:szCs w:val="24"/>
        </w:rPr>
        <w:t>5. Wiktor Różański – były pracownik LGR „Partnerstwo Jezior”; zatrudniony od 14.03.2016r.</w:t>
      </w:r>
    </w:p>
    <w:p w:rsidR="00310340" w:rsidRDefault="00EE6735">
      <w:pPr>
        <w:spacing w:after="0"/>
        <w:ind w:left="284"/>
        <w:jc w:val="both"/>
        <w:rPr>
          <w:sz w:val="24"/>
          <w:szCs w:val="24"/>
        </w:rPr>
      </w:pPr>
      <w:r>
        <w:rPr>
          <w:sz w:val="24"/>
          <w:szCs w:val="24"/>
        </w:rPr>
        <w:t xml:space="preserve">6. Anna </w:t>
      </w:r>
      <w:proofErr w:type="gramStart"/>
      <w:r>
        <w:rPr>
          <w:sz w:val="24"/>
          <w:szCs w:val="24"/>
        </w:rPr>
        <w:t>Pietraszewska  zatrudniona</w:t>
      </w:r>
      <w:proofErr w:type="gramEnd"/>
      <w:r>
        <w:rPr>
          <w:sz w:val="24"/>
          <w:szCs w:val="24"/>
        </w:rPr>
        <w:t xml:space="preserve"> od 01.11.2016 r.</w:t>
      </w:r>
      <w:r w:rsidR="00526B21">
        <w:rPr>
          <w:sz w:val="24"/>
          <w:szCs w:val="24"/>
        </w:rPr>
        <w:t xml:space="preserve"> na czas określony do grudnia 2017r.</w:t>
      </w:r>
    </w:p>
    <w:p w:rsidR="00310340" w:rsidRDefault="00EE6735">
      <w:pPr>
        <w:spacing w:after="0"/>
        <w:ind w:left="284"/>
        <w:jc w:val="both"/>
        <w:rPr>
          <w:sz w:val="24"/>
          <w:szCs w:val="24"/>
        </w:rPr>
      </w:pPr>
      <w:r>
        <w:rPr>
          <w:sz w:val="24"/>
          <w:szCs w:val="24"/>
        </w:rPr>
        <w:t xml:space="preserve">W </w:t>
      </w:r>
      <w:r w:rsidR="00544BAC">
        <w:rPr>
          <w:sz w:val="24"/>
          <w:szCs w:val="24"/>
        </w:rPr>
        <w:t>B</w:t>
      </w:r>
      <w:r>
        <w:rPr>
          <w:sz w:val="24"/>
          <w:szCs w:val="24"/>
        </w:rPr>
        <w:t xml:space="preserve">iurze Stowarzyszenia „Lider Pojezierza” na stażu i pracach interwencyjnych, w ramach wsparcia z PUP w Myśliborzu, zatrudnione były dwie osoby Anna Pietraszewska i Ewa Stolarska.  </w:t>
      </w:r>
    </w:p>
    <w:p w:rsidR="00310340" w:rsidRDefault="00EE6735">
      <w:pPr>
        <w:spacing w:after="0"/>
        <w:ind w:left="284"/>
        <w:jc w:val="both"/>
        <w:rPr>
          <w:sz w:val="24"/>
          <w:szCs w:val="24"/>
        </w:rPr>
      </w:pPr>
      <w:r>
        <w:rPr>
          <w:sz w:val="24"/>
          <w:szCs w:val="24"/>
        </w:rPr>
        <w:t>Pracownicy Biura są kompetentni i systematycznie podnoszą swoje kwalifikacje wykorzystując środki zewnętrzne. W 2016 roku na szkolenie pracowników biura oraz przyszłych beneficjentów pozyskano środki z PUP Myślibórz w wysokości 23 100,00 zł.</w:t>
      </w:r>
    </w:p>
    <w:p w:rsidR="00310340" w:rsidRDefault="00EE6735">
      <w:pPr>
        <w:spacing w:after="0"/>
        <w:ind w:left="284"/>
        <w:jc w:val="both"/>
        <w:rPr>
          <w:sz w:val="24"/>
          <w:szCs w:val="24"/>
        </w:rPr>
      </w:pPr>
      <w:r>
        <w:rPr>
          <w:sz w:val="24"/>
          <w:szCs w:val="24"/>
        </w:rPr>
        <w:t>Biuro realizuje wszystkie zadania bieżące Stowarzyszenia, prowadzi dokumentację członkowską, dokumentację związaną z ogłoszonymi konkursami oraz dokumentację związaną z funkcjonowaniem stowarzyszenia Lider Pojezierza.</w:t>
      </w:r>
    </w:p>
    <w:p w:rsidR="00310340" w:rsidRDefault="00EE6735">
      <w:pPr>
        <w:spacing w:after="0"/>
        <w:ind w:left="284"/>
        <w:rPr>
          <w:sz w:val="24"/>
          <w:szCs w:val="24"/>
        </w:rPr>
      </w:pPr>
      <w:r>
        <w:rPr>
          <w:sz w:val="24"/>
          <w:szCs w:val="24"/>
        </w:rPr>
        <w:t xml:space="preserve">W roku 2016 realizowane były zadania zawarte w szczegółowym opisie zadań po podpisaniu umowy ramowej na wdrażanie LSR na lata 2014-2020 w dniu 19.05.2016 roku oraz </w:t>
      </w:r>
      <w:r w:rsidR="00526B21">
        <w:rPr>
          <w:sz w:val="24"/>
          <w:szCs w:val="24"/>
        </w:rPr>
        <w:t xml:space="preserve">na </w:t>
      </w:r>
      <w:proofErr w:type="gramStart"/>
      <w:r w:rsidR="00526B21">
        <w:rPr>
          <w:sz w:val="24"/>
          <w:szCs w:val="24"/>
        </w:rPr>
        <w:t>realizację</w:t>
      </w:r>
      <w:r>
        <w:rPr>
          <w:sz w:val="24"/>
          <w:szCs w:val="24"/>
        </w:rPr>
        <w:t xml:space="preserve">  poddziałania</w:t>
      </w:r>
      <w:proofErr w:type="gramEnd"/>
      <w:r>
        <w:rPr>
          <w:sz w:val="24"/>
          <w:szCs w:val="24"/>
        </w:rPr>
        <w:t xml:space="preserve"> 19.4 „Wsparcie na rzecz kosztów bieżących” w dniu 30.06.2016 roku, zgodnie ze sprawozdaniem finansowym za rok 2016</w:t>
      </w:r>
      <w:r>
        <w:rPr>
          <w:color w:val="FF0000"/>
          <w:sz w:val="24"/>
          <w:szCs w:val="24"/>
        </w:rPr>
        <w:t xml:space="preserve"> </w:t>
      </w:r>
      <w:r>
        <w:rPr>
          <w:sz w:val="24"/>
          <w:szCs w:val="24"/>
        </w:rPr>
        <w:t xml:space="preserve">oraz zadania wynikające z umowy na „Wsparcie przygotowawcze” na kwotę 43 200,00 zł  </w:t>
      </w:r>
    </w:p>
    <w:p w:rsidR="00310340" w:rsidRDefault="00310340">
      <w:pPr>
        <w:spacing w:after="0"/>
        <w:ind w:left="284"/>
        <w:rPr>
          <w:sz w:val="24"/>
          <w:szCs w:val="24"/>
        </w:rPr>
      </w:pPr>
    </w:p>
    <w:p w:rsidR="00310340" w:rsidRDefault="00EE6735">
      <w:pPr>
        <w:spacing w:after="0"/>
        <w:ind w:left="284"/>
        <w:jc w:val="both"/>
        <w:rPr>
          <w:sz w:val="24"/>
          <w:szCs w:val="24"/>
        </w:rPr>
      </w:pPr>
      <w:r>
        <w:rPr>
          <w:sz w:val="24"/>
          <w:szCs w:val="24"/>
        </w:rPr>
        <w:t>Koszty realizacji poszczególnych zadań zostały w całości zrefundowane przez Urząd Marszałkowski - instytucję wdrażającą PROW 2014-2020 w województwie zachodniopomorskim.</w:t>
      </w:r>
    </w:p>
    <w:p w:rsidR="00310340" w:rsidRDefault="00EE6735">
      <w:pPr>
        <w:spacing w:after="0"/>
        <w:ind w:left="284"/>
        <w:jc w:val="both"/>
        <w:rPr>
          <w:sz w:val="24"/>
          <w:szCs w:val="24"/>
        </w:rPr>
      </w:pPr>
      <w:r>
        <w:rPr>
          <w:sz w:val="24"/>
          <w:szCs w:val="24"/>
        </w:rPr>
        <w:t>Zadania zrealizowane zostały w następujących kategoriach:</w:t>
      </w:r>
    </w:p>
    <w:p w:rsidR="00310340" w:rsidRDefault="00310340">
      <w:pPr>
        <w:spacing w:after="0"/>
        <w:ind w:left="284"/>
        <w:jc w:val="both"/>
      </w:pPr>
    </w:p>
    <w:tbl>
      <w:tblPr>
        <w:tblStyle w:val="a"/>
        <w:tblW w:w="92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2115"/>
        <w:gridCol w:w="1185"/>
        <w:gridCol w:w="1320"/>
        <w:gridCol w:w="4065"/>
      </w:tblGrid>
      <w:tr w:rsidR="00310340">
        <w:tc>
          <w:tcPr>
            <w:tcW w:w="525" w:type="dxa"/>
            <w:shd w:val="clear" w:color="auto" w:fill="D9D9D9"/>
            <w:vAlign w:val="center"/>
          </w:tcPr>
          <w:p w:rsidR="00310340" w:rsidRDefault="00EE6735">
            <w:pPr>
              <w:spacing w:after="0" w:line="240" w:lineRule="auto"/>
              <w:jc w:val="center"/>
              <w:rPr>
                <w:b/>
                <w:sz w:val="20"/>
                <w:szCs w:val="20"/>
              </w:rPr>
            </w:pPr>
            <w:r>
              <w:rPr>
                <w:b/>
                <w:sz w:val="20"/>
                <w:szCs w:val="20"/>
              </w:rPr>
              <w:t>Lp.</w:t>
            </w:r>
          </w:p>
        </w:tc>
        <w:tc>
          <w:tcPr>
            <w:tcW w:w="2115" w:type="dxa"/>
            <w:shd w:val="clear" w:color="auto" w:fill="D9D9D9"/>
            <w:vAlign w:val="center"/>
          </w:tcPr>
          <w:p w:rsidR="00310340" w:rsidRDefault="00EE6735">
            <w:pPr>
              <w:spacing w:after="0" w:line="240" w:lineRule="auto"/>
              <w:jc w:val="center"/>
              <w:rPr>
                <w:b/>
                <w:sz w:val="20"/>
                <w:szCs w:val="20"/>
              </w:rPr>
            </w:pPr>
            <w:r>
              <w:rPr>
                <w:b/>
                <w:sz w:val="20"/>
                <w:szCs w:val="20"/>
              </w:rPr>
              <w:t>Zakres zadań</w:t>
            </w:r>
          </w:p>
        </w:tc>
        <w:tc>
          <w:tcPr>
            <w:tcW w:w="1185" w:type="dxa"/>
            <w:shd w:val="clear" w:color="auto" w:fill="D9D9D9"/>
            <w:vAlign w:val="center"/>
          </w:tcPr>
          <w:p w:rsidR="00310340" w:rsidRDefault="00EE6735">
            <w:pPr>
              <w:spacing w:after="0" w:line="240" w:lineRule="auto"/>
              <w:jc w:val="center"/>
              <w:rPr>
                <w:b/>
                <w:sz w:val="20"/>
                <w:szCs w:val="20"/>
              </w:rPr>
            </w:pPr>
            <w:r>
              <w:rPr>
                <w:b/>
                <w:sz w:val="20"/>
                <w:szCs w:val="20"/>
              </w:rPr>
              <w:t>Koszt zł</w:t>
            </w:r>
          </w:p>
        </w:tc>
        <w:tc>
          <w:tcPr>
            <w:tcW w:w="1320" w:type="dxa"/>
            <w:shd w:val="clear" w:color="auto" w:fill="D9D9D9"/>
            <w:vAlign w:val="center"/>
          </w:tcPr>
          <w:p w:rsidR="00310340" w:rsidRDefault="00EE6735">
            <w:pPr>
              <w:spacing w:after="0" w:line="240" w:lineRule="auto"/>
              <w:jc w:val="center"/>
              <w:rPr>
                <w:b/>
                <w:sz w:val="20"/>
                <w:szCs w:val="20"/>
              </w:rPr>
            </w:pPr>
            <w:r>
              <w:rPr>
                <w:b/>
                <w:sz w:val="20"/>
                <w:szCs w:val="20"/>
              </w:rPr>
              <w:t>Wskaźnik realizacji</w:t>
            </w:r>
          </w:p>
        </w:tc>
        <w:tc>
          <w:tcPr>
            <w:tcW w:w="4065" w:type="dxa"/>
            <w:shd w:val="clear" w:color="auto" w:fill="D9D9D9"/>
            <w:vAlign w:val="center"/>
          </w:tcPr>
          <w:p w:rsidR="00310340" w:rsidRDefault="00EE6735">
            <w:pPr>
              <w:spacing w:after="0" w:line="240" w:lineRule="auto"/>
              <w:jc w:val="center"/>
              <w:rPr>
                <w:b/>
                <w:sz w:val="20"/>
                <w:szCs w:val="20"/>
              </w:rPr>
            </w:pPr>
            <w:r>
              <w:rPr>
                <w:b/>
                <w:sz w:val="20"/>
                <w:szCs w:val="20"/>
              </w:rPr>
              <w:t>Opis zadania</w:t>
            </w:r>
          </w:p>
        </w:tc>
      </w:tr>
      <w:tr w:rsidR="00310340">
        <w:trPr>
          <w:trHeight w:val="200"/>
        </w:trPr>
        <w:tc>
          <w:tcPr>
            <w:tcW w:w="9210" w:type="dxa"/>
            <w:gridSpan w:val="5"/>
            <w:vAlign w:val="center"/>
          </w:tcPr>
          <w:p w:rsidR="00310340" w:rsidRPr="00526B21" w:rsidRDefault="00EE6735">
            <w:pPr>
              <w:spacing w:after="0" w:line="240" w:lineRule="auto"/>
              <w:jc w:val="center"/>
              <w:rPr>
                <w:color w:val="auto"/>
                <w:sz w:val="20"/>
                <w:szCs w:val="20"/>
              </w:rPr>
            </w:pPr>
            <w:r w:rsidRPr="00526B21">
              <w:rPr>
                <w:color w:val="auto"/>
                <w:sz w:val="20"/>
                <w:szCs w:val="20"/>
              </w:rPr>
              <w:t>Realizacja Planu Komunikacji</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Strona internetowa</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32290</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Środek przekazu mający na celu informowanie mieszkańców obszaru o działalności LGD, popularyzowanie wiedzy o konkursach, zasadach i kryteriach wyboru, rozpowszechnianie dobrych praktyk, promowanie wydarzeń etc. </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 xml:space="preserve">Portal </w:t>
            </w:r>
            <w:proofErr w:type="spellStart"/>
            <w:r w:rsidRPr="00526B21">
              <w:rPr>
                <w:color w:val="auto"/>
                <w:sz w:val="20"/>
                <w:szCs w:val="20"/>
              </w:rPr>
              <w:t>social</w:t>
            </w:r>
            <w:proofErr w:type="spellEnd"/>
            <w:r w:rsidRPr="00526B21">
              <w:rPr>
                <w:color w:val="auto"/>
                <w:sz w:val="20"/>
                <w:szCs w:val="20"/>
              </w:rPr>
              <w:t xml:space="preserve"> media Facebook</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566</w:t>
            </w:r>
          </w:p>
        </w:tc>
        <w:tc>
          <w:tcPr>
            <w:tcW w:w="4065" w:type="dxa"/>
            <w:vAlign w:val="center"/>
          </w:tcPr>
          <w:p w:rsidR="00310340" w:rsidRPr="00526B21" w:rsidRDefault="00EE6735" w:rsidP="00C04CF9">
            <w:pPr>
              <w:spacing w:after="0" w:line="240" w:lineRule="auto"/>
              <w:rPr>
                <w:color w:val="auto"/>
                <w:sz w:val="20"/>
                <w:szCs w:val="20"/>
              </w:rPr>
            </w:pPr>
            <w:proofErr w:type="spellStart"/>
            <w:r w:rsidRPr="00526B21">
              <w:rPr>
                <w:color w:val="auto"/>
                <w:sz w:val="20"/>
                <w:szCs w:val="20"/>
              </w:rPr>
              <w:t>Funpage</w:t>
            </w:r>
            <w:proofErr w:type="spellEnd"/>
            <w:r w:rsidRPr="00526B21">
              <w:rPr>
                <w:color w:val="auto"/>
                <w:sz w:val="20"/>
                <w:szCs w:val="20"/>
              </w:rPr>
              <w:t xml:space="preserve"> Stowarzyszenia, na którym zamieszczane są informacje dotyczące bieżącej działalności LGD oraz aktualnych ogłoszeniach o naborach.  </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3.</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Newsletter</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906</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Kampanie prowadzone min. 2 razy na półrocze. Wysyłane wiadomości zawierają informacje dotyczące bieżącej działalności LGD., w tym: popularyzowanie wiedzy o konkursach, zasadach i kryteriach wyboru, </w:t>
            </w:r>
            <w:r w:rsidRPr="00526B21">
              <w:rPr>
                <w:color w:val="auto"/>
                <w:sz w:val="20"/>
                <w:szCs w:val="20"/>
              </w:rPr>
              <w:lastRenderedPageBreak/>
              <w:t xml:space="preserve">rozpowszechnianie dobrych praktyk, promowanie wydarzeń etc. </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lastRenderedPageBreak/>
              <w:t>4.</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Spotkania w Gminach</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12</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Spotkania odbywają się w poszczególnych Gminach objętych LSR. Podczas spotkań uczestnicy informowani są o bieżącej działalności LGD, zasadach aplikowania o środki, dobrych praktykach.</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5.</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Strona internetowa z dedykowaną zakładką</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24</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Na stronie internetowej </w:t>
            </w:r>
            <w:hyperlink r:id="rId7">
              <w:r w:rsidRPr="00526B21">
                <w:rPr>
                  <w:color w:val="auto"/>
                  <w:sz w:val="20"/>
                  <w:szCs w:val="20"/>
                  <w:u w:val="single"/>
                </w:rPr>
                <w:t>www.liderpojezierza</w:t>
              </w:r>
            </w:hyperlink>
            <w:r w:rsidRPr="00526B21">
              <w:rPr>
                <w:color w:val="auto"/>
                <w:sz w:val="20"/>
                <w:szCs w:val="20"/>
              </w:rPr>
              <w:t xml:space="preserve">.pl zostały utworzone zakładki dedykowane poszczególnych </w:t>
            </w:r>
            <w:r w:rsidR="00526B21" w:rsidRPr="00526B21">
              <w:rPr>
                <w:color w:val="auto"/>
                <w:sz w:val="20"/>
                <w:szCs w:val="20"/>
              </w:rPr>
              <w:t>grupom interesu</w:t>
            </w:r>
            <w:r w:rsidRPr="00526B21">
              <w:rPr>
                <w:color w:val="auto"/>
                <w:sz w:val="20"/>
                <w:szCs w:val="20"/>
              </w:rPr>
              <w:t>, np. III sektor, gdzie zamieszczane są informacje przydatne dla tej grupy.</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6.</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Konkursy tematyczne</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1918,66</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Konkursy tematyczne ogłaszane przez LGD, mają na celu promocję obszaru, walorów kulturowych, produktów tradycyjnych i regionalnych oraz aktywizację społeczności lokalnej. A także popularyzację działalności LGD, podniesienie poczucia wspólnoty wśród mieszkańców.</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7.</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Internetowa mapa dobrych praktyk</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Mapa ma służyć popularyzacji dobrych praktyk w ramach zrealizowanych operacji poprzez LGD.</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8.</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 xml:space="preserve">Ankiety elektroniczne i papierowe do wypełnienia po każdym spotkaniu konsultacyjnym </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50</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Ankieta monitorująca jakość przeprowadzonego spotkania zarówno pod względem merytorycznym jak i technicznym. Ankieta bada poziom zadowolenia potencjalnego wnioskodawcy po udziale w spotkaniu konsultacyjnym.</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9.</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Prezentacja członków organu decyzyjnego lub pracowników Biura LGD</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12</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Podczas prezentacji omawiane są zasady aplikowania o środki za pośrednictwem LGD, prezentowane dobre praktyki.</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10.</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Wykonanie FAQ na stronie internetowej</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84</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Na stronie internetowej utworzono zakładkę zawierającą najczęściej zadawane pytania wraz z odpowiedziami.</w:t>
            </w:r>
          </w:p>
        </w:tc>
      </w:tr>
      <w:tr w:rsidR="00526B21" w:rsidRPr="00526B21">
        <w:trPr>
          <w:trHeight w:val="1120"/>
        </w:trPr>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11.</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Szkolenia dla osób zaangażowanych w realizację i wdrażanie LSR</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2/121 osób</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W etapie zorganizowano 2 szkolenia, w których uczestniczyło 121 osób. Podczas spotkań prezentowane są zasady ubiegania się środki w ramach PROW. Omawiane są zasady wypełniania formularzy aplikacyjnych. </w:t>
            </w:r>
          </w:p>
        </w:tc>
      </w:tr>
      <w:tr w:rsidR="00526B21" w:rsidRPr="00526B21">
        <w:trPr>
          <w:trHeight w:val="1120"/>
        </w:trPr>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12.</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Doradztwo indywidualne</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150 osób</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Prowadzenie doradztwa dla potencjalnych wnioskodawców</w:t>
            </w:r>
          </w:p>
        </w:tc>
      </w:tr>
      <w:tr w:rsidR="00526B21" w:rsidRPr="00526B21">
        <w:trPr>
          <w:trHeight w:val="200"/>
        </w:trPr>
        <w:tc>
          <w:tcPr>
            <w:tcW w:w="9210" w:type="dxa"/>
            <w:gridSpan w:val="5"/>
            <w:vAlign w:val="center"/>
          </w:tcPr>
          <w:p w:rsidR="00310340" w:rsidRPr="00526B21" w:rsidRDefault="00EE6735" w:rsidP="00C04CF9">
            <w:pPr>
              <w:spacing w:after="0" w:line="240" w:lineRule="auto"/>
              <w:rPr>
                <w:color w:val="auto"/>
                <w:sz w:val="20"/>
                <w:szCs w:val="20"/>
              </w:rPr>
            </w:pPr>
            <w:r w:rsidRPr="00526B21">
              <w:rPr>
                <w:color w:val="auto"/>
                <w:sz w:val="20"/>
                <w:szCs w:val="20"/>
              </w:rPr>
              <w:t>Realizacja Planu szkoleń</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 xml:space="preserve">  Zasady wdrażania LSR kierowanej przez społeczność</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18 osób</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W szkoleniu uczestniczyli Pracownicy Biura, Członkowie Rady, Zarządu. Spotkanie dotyczyło dokumentacji wdrożeniowej oraz zasad wdrażania LSR.  </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 xml:space="preserve">Zasady wypełniania dokumentacji aplikacyjnej i rozliczeniowej w ramach poddziałania “Wsparcie na wdrażanie operacji w </w:t>
            </w:r>
            <w:r w:rsidRPr="00526B21">
              <w:rPr>
                <w:color w:val="auto"/>
                <w:sz w:val="20"/>
                <w:szCs w:val="20"/>
              </w:rPr>
              <w:lastRenderedPageBreak/>
              <w:t>ramach strategii rozwoju lokalnego kierowanego przez społeczność”</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lastRenderedPageBreak/>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6 osób</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Szkolenie dedykowane pracownikom Biura LGD</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3.</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Zasady oceny i wyboru projektów do finansowania</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5 304,00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27 osób</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Szkolenie dedykowane Pracownikom Biura, Członkom Rady, Zarządu i Komisji Rewizyjnej </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4.</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Zasady ewaluacji i monitoringu LSR</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6 osób</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Szkolenie skierowane do Pracowników Biura LGD</w:t>
            </w:r>
          </w:p>
        </w:tc>
      </w:tr>
      <w:tr w:rsidR="00526B21" w:rsidRPr="00526B21">
        <w:trPr>
          <w:trHeight w:val="200"/>
        </w:trPr>
        <w:tc>
          <w:tcPr>
            <w:tcW w:w="9210" w:type="dxa"/>
            <w:gridSpan w:val="5"/>
            <w:vAlign w:val="center"/>
          </w:tcPr>
          <w:p w:rsidR="00310340" w:rsidRPr="00526B21" w:rsidRDefault="00EE6735" w:rsidP="00526B21">
            <w:pPr>
              <w:spacing w:after="0" w:line="240" w:lineRule="auto"/>
              <w:jc w:val="center"/>
              <w:rPr>
                <w:color w:val="auto"/>
                <w:sz w:val="20"/>
                <w:szCs w:val="20"/>
              </w:rPr>
            </w:pPr>
            <w:r w:rsidRPr="00526B21">
              <w:rPr>
                <w:color w:val="auto"/>
                <w:sz w:val="20"/>
                <w:szCs w:val="20"/>
              </w:rPr>
              <w:t>Aktywizacja</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10 lat realizacji oddolnych inicjatyw na obszarze działania Stowarzyszenia “Lider Pojezierza”</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10 100,00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100</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Konferencja podsumowująca 10 lat działalności Stowarzyszenia “Lider Pojezierza”. Prezentacja dotychczasowych osiągnięć Stowarzyszenia oraz mieszkańców obszaru objętego LSR. Informacja dotycząca nowego PROW, a także zasad obowiązujących w okresie programowania 2014-2020.</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TILIA</w:t>
            </w:r>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30 000,00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250 osób</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Targi Inicjatyw Lokalnych i Awangardowych to cykliczna impreza wpisana do LSR. Celem Targów TILiA jest aktywizacja mieszkańców 13 gmin wokół wspólnego wydarzenia, promocja LGD oraz jej członków oraz działalności mieszkańców obszaru objętego LSR, produktów regionalnych, rękodzielnictwa, informowanie o osiągnięciach i działaniu LGD. TILiA 2016 odbyła </w:t>
            </w:r>
            <w:proofErr w:type="gramStart"/>
            <w:r w:rsidRPr="00526B21">
              <w:rPr>
                <w:color w:val="auto"/>
                <w:sz w:val="20"/>
                <w:szCs w:val="20"/>
              </w:rPr>
              <w:t>się  w</w:t>
            </w:r>
            <w:proofErr w:type="gramEnd"/>
            <w:r w:rsidRPr="00526B21">
              <w:rPr>
                <w:color w:val="auto"/>
                <w:sz w:val="20"/>
                <w:szCs w:val="20"/>
              </w:rPr>
              <w:t xml:space="preserve"> Chwarszczanach w dniu 27.08.2016. Organizacja imprezy została powierzona GCK w Boleszkowicach. Tematyka imprezy nawiązywała do epoki średniowiecza. Impreza jednodniowa (6 godz.) Grupę docelową stanowią mieszkańcy obszaru "Lidera Pojezierza" oraz turyści. Podczas imprezy każda z gmin członkowskich </w:t>
            </w:r>
            <w:r w:rsidR="00526B21" w:rsidRPr="00526B21">
              <w:rPr>
                <w:color w:val="auto"/>
                <w:sz w:val="20"/>
                <w:szCs w:val="20"/>
              </w:rPr>
              <w:t>LGD prezentowała</w:t>
            </w:r>
            <w:r w:rsidRPr="00526B21">
              <w:rPr>
                <w:color w:val="auto"/>
                <w:sz w:val="20"/>
                <w:szCs w:val="20"/>
              </w:rPr>
              <w:t xml:space="preserve"> swoje walory turystyczno-krajobrazowe oraz osiągnięcia. Koszty imprezy oszacowane zostały na podstawie kosztów organizacji imprezy w 2015 r. i obejmują: wynajem sceny wraz z nagłośnieniem, oświetleniem i obsługą, wynajem oraz przygotowanie domków wystawienniczych, przygotowanie terenu dla wystawców, stanowisk handlowych oraz sceny, w tym zapewnienie prądu oraz wody, zapewnienie transportu dla uczestników imprezy, promocja imprezy (ulotki, plakaty, zaproszenia, banery, spot reklamowy), zapewnienie prowadzącego, atrakcji oraz ciekawego programu podczas imprezy (ubezpieczenie, opieka medyczna), zapewnienie koordynatora imprezy.</w:t>
            </w:r>
          </w:p>
        </w:tc>
      </w:tr>
      <w:tr w:rsidR="00526B21" w:rsidRPr="00526B21">
        <w:tc>
          <w:tcPr>
            <w:tcW w:w="52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3.</w:t>
            </w:r>
          </w:p>
        </w:tc>
        <w:tc>
          <w:tcPr>
            <w:tcW w:w="211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 xml:space="preserve">VI Biesiada Sąsiadki zza </w:t>
            </w:r>
            <w:proofErr w:type="gramStart"/>
            <w:r w:rsidRPr="00526B21">
              <w:rPr>
                <w:color w:val="auto"/>
                <w:sz w:val="20"/>
                <w:szCs w:val="20"/>
              </w:rPr>
              <w:t>miedzy</w:t>
            </w:r>
            <w:proofErr w:type="gramEnd"/>
          </w:p>
        </w:tc>
        <w:tc>
          <w:tcPr>
            <w:tcW w:w="1185" w:type="dxa"/>
            <w:vAlign w:val="center"/>
          </w:tcPr>
          <w:p w:rsidR="00310340" w:rsidRPr="00526B21" w:rsidRDefault="00EE6735">
            <w:pPr>
              <w:spacing w:after="0" w:line="240" w:lineRule="auto"/>
              <w:jc w:val="center"/>
              <w:rPr>
                <w:color w:val="auto"/>
                <w:sz w:val="20"/>
                <w:szCs w:val="20"/>
              </w:rPr>
            </w:pPr>
            <w:r w:rsidRPr="00526B21">
              <w:rPr>
                <w:color w:val="auto"/>
                <w:sz w:val="20"/>
                <w:szCs w:val="20"/>
              </w:rPr>
              <w:t>3700,00</w:t>
            </w:r>
          </w:p>
        </w:tc>
        <w:tc>
          <w:tcPr>
            <w:tcW w:w="1320" w:type="dxa"/>
            <w:vAlign w:val="center"/>
          </w:tcPr>
          <w:p w:rsidR="00310340" w:rsidRPr="00526B21" w:rsidRDefault="00EE6735">
            <w:pPr>
              <w:spacing w:after="0" w:line="240" w:lineRule="auto"/>
              <w:jc w:val="center"/>
              <w:rPr>
                <w:color w:val="auto"/>
                <w:sz w:val="20"/>
                <w:szCs w:val="20"/>
              </w:rPr>
            </w:pPr>
            <w:r w:rsidRPr="00526B21">
              <w:rPr>
                <w:color w:val="auto"/>
                <w:sz w:val="20"/>
                <w:szCs w:val="20"/>
              </w:rPr>
              <w:t>250</w:t>
            </w:r>
          </w:p>
        </w:tc>
        <w:tc>
          <w:tcPr>
            <w:tcW w:w="4065" w:type="dxa"/>
            <w:vAlign w:val="center"/>
          </w:tcPr>
          <w:p w:rsidR="00310340" w:rsidRPr="00526B21" w:rsidRDefault="00EE6735" w:rsidP="00C04CF9">
            <w:pPr>
              <w:spacing w:after="0" w:line="240" w:lineRule="auto"/>
              <w:rPr>
                <w:color w:val="auto"/>
                <w:sz w:val="20"/>
                <w:szCs w:val="20"/>
              </w:rPr>
            </w:pPr>
            <w:r w:rsidRPr="00526B21">
              <w:rPr>
                <w:color w:val="auto"/>
                <w:sz w:val="20"/>
                <w:szCs w:val="20"/>
              </w:rPr>
              <w:t xml:space="preserve">Wydarzenie miało na celu integrację i aktywizację mieszkańców obszaru objętego LSR, pozytywnie wpłynęło na poczucie wspólnoty wśród mieszkańców. Ponadto, omówiono zasady aplikowania o środki za pośrednictwem LGD. </w:t>
            </w:r>
          </w:p>
        </w:tc>
      </w:tr>
      <w:tr w:rsidR="00310340">
        <w:tc>
          <w:tcPr>
            <w:tcW w:w="2640" w:type="dxa"/>
            <w:gridSpan w:val="2"/>
            <w:vAlign w:val="center"/>
          </w:tcPr>
          <w:p w:rsidR="00310340" w:rsidRDefault="00EE6735">
            <w:pPr>
              <w:spacing w:after="0" w:line="240" w:lineRule="auto"/>
              <w:jc w:val="center"/>
              <w:rPr>
                <w:sz w:val="20"/>
                <w:szCs w:val="20"/>
              </w:rPr>
            </w:pPr>
            <w:r>
              <w:rPr>
                <w:sz w:val="20"/>
                <w:szCs w:val="20"/>
              </w:rPr>
              <w:t>RAZEM</w:t>
            </w:r>
          </w:p>
        </w:tc>
        <w:tc>
          <w:tcPr>
            <w:tcW w:w="1185" w:type="dxa"/>
            <w:vAlign w:val="center"/>
          </w:tcPr>
          <w:p w:rsidR="00310340" w:rsidRDefault="00310340">
            <w:pPr>
              <w:spacing w:after="0" w:line="240" w:lineRule="auto"/>
              <w:jc w:val="center"/>
              <w:rPr>
                <w:sz w:val="20"/>
                <w:szCs w:val="20"/>
              </w:rPr>
            </w:pPr>
          </w:p>
        </w:tc>
        <w:tc>
          <w:tcPr>
            <w:tcW w:w="5385" w:type="dxa"/>
            <w:gridSpan w:val="2"/>
            <w:vAlign w:val="center"/>
          </w:tcPr>
          <w:p w:rsidR="00310340" w:rsidRDefault="00310340">
            <w:pPr>
              <w:spacing w:after="0" w:line="240" w:lineRule="auto"/>
              <w:jc w:val="both"/>
              <w:rPr>
                <w:sz w:val="20"/>
                <w:szCs w:val="20"/>
              </w:rPr>
            </w:pPr>
          </w:p>
        </w:tc>
      </w:tr>
    </w:tbl>
    <w:p w:rsidR="00310340" w:rsidRDefault="00310340">
      <w:pPr>
        <w:spacing w:after="0" w:line="240" w:lineRule="auto"/>
        <w:jc w:val="both"/>
      </w:pPr>
    </w:p>
    <w:p w:rsidR="00310340" w:rsidRPr="00526B21" w:rsidRDefault="00EE6735">
      <w:pPr>
        <w:spacing w:after="0" w:line="240" w:lineRule="auto"/>
        <w:jc w:val="both"/>
        <w:rPr>
          <w:color w:val="auto"/>
          <w:sz w:val="24"/>
          <w:szCs w:val="24"/>
        </w:rPr>
      </w:pPr>
      <w:r w:rsidRPr="00526B21">
        <w:rPr>
          <w:color w:val="auto"/>
        </w:rPr>
        <w:t>W roku 2016 w działaniach LGD „Lid</w:t>
      </w:r>
      <w:r w:rsidR="00526B21">
        <w:rPr>
          <w:color w:val="auto"/>
        </w:rPr>
        <w:t>er Pojezierza” uczestniczyło ponad</w:t>
      </w:r>
      <w:r w:rsidRPr="00526B21">
        <w:rPr>
          <w:color w:val="auto"/>
        </w:rPr>
        <w:t xml:space="preserve"> 1000 osób z obszaru objętego LSR.</w:t>
      </w:r>
    </w:p>
    <w:p w:rsidR="00310340" w:rsidRDefault="00EE6735">
      <w:pPr>
        <w:spacing w:after="0"/>
        <w:jc w:val="both"/>
        <w:rPr>
          <w:b/>
          <w:sz w:val="24"/>
          <w:szCs w:val="24"/>
        </w:rPr>
      </w:pPr>
      <w:r>
        <w:rPr>
          <w:b/>
          <w:sz w:val="24"/>
          <w:szCs w:val="24"/>
        </w:rPr>
        <w:t>4. Współpraca z innymi organizacjami i podmiotami</w:t>
      </w:r>
    </w:p>
    <w:p w:rsidR="00310340" w:rsidRDefault="00EE6735">
      <w:pPr>
        <w:spacing w:after="0"/>
        <w:ind w:left="284"/>
        <w:jc w:val="both"/>
        <w:rPr>
          <w:sz w:val="24"/>
          <w:szCs w:val="24"/>
        </w:rPr>
      </w:pPr>
      <w:r>
        <w:rPr>
          <w:sz w:val="24"/>
          <w:szCs w:val="24"/>
        </w:rPr>
        <w:t xml:space="preserve">Stowarzyszenie współpracuje z Urzędem Marszałkowskim Województwa Zachodniopomorskiego PROW w zakresie realizacji umów dot. wdrażania LSR oraz wsparcia na rzecz kosztów bieżących LGD, </w:t>
      </w:r>
      <w:r w:rsidR="00526B21">
        <w:rPr>
          <w:sz w:val="24"/>
          <w:szCs w:val="24"/>
        </w:rPr>
        <w:t>ponadto przedstawiciele</w:t>
      </w:r>
      <w:r>
        <w:rPr>
          <w:sz w:val="24"/>
          <w:szCs w:val="24"/>
        </w:rPr>
        <w:t xml:space="preserve"> władz stowarzyszenia oraz pracownicy biura LGD uczestniczą w spotkaniach, szkoleniach i wyjazdach organizowanych przez sekretariat regionalny Krajowej Sieci Obszarów Wiejskich. </w:t>
      </w:r>
    </w:p>
    <w:p w:rsidR="00310340" w:rsidRDefault="00EE6735">
      <w:pPr>
        <w:spacing w:after="0"/>
        <w:ind w:left="284"/>
        <w:jc w:val="both"/>
        <w:rPr>
          <w:sz w:val="24"/>
          <w:szCs w:val="24"/>
        </w:rPr>
      </w:pPr>
      <w:r>
        <w:rPr>
          <w:sz w:val="24"/>
          <w:szCs w:val="24"/>
        </w:rPr>
        <w:t xml:space="preserve">Stowarzyszenie </w:t>
      </w:r>
      <w:r w:rsidR="00526B21">
        <w:rPr>
          <w:sz w:val="24"/>
          <w:szCs w:val="24"/>
        </w:rPr>
        <w:t>współpracuje również</w:t>
      </w:r>
      <w:r>
        <w:rPr>
          <w:sz w:val="24"/>
          <w:szCs w:val="24"/>
        </w:rPr>
        <w:t xml:space="preserve"> z Wydziałem Rolnictwa i Rybactwa oraz Wydziałem Turystyki i Promocji. </w:t>
      </w:r>
    </w:p>
    <w:p w:rsidR="00310340" w:rsidRDefault="00EE6735">
      <w:pPr>
        <w:spacing w:after="0"/>
        <w:ind w:left="284"/>
        <w:jc w:val="both"/>
        <w:rPr>
          <w:sz w:val="24"/>
          <w:szCs w:val="24"/>
        </w:rPr>
      </w:pPr>
      <w:r>
        <w:rPr>
          <w:sz w:val="24"/>
          <w:szCs w:val="24"/>
        </w:rPr>
        <w:t xml:space="preserve">Stowarzyszenie jest członkiem </w:t>
      </w:r>
      <w:r w:rsidR="00526B21">
        <w:rPr>
          <w:sz w:val="24"/>
          <w:szCs w:val="24"/>
        </w:rPr>
        <w:t>Zachodniopomorskiej Sieci</w:t>
      </w:r>
      <w:r>
        <w:rPr>
          <w:sz w:val="24"/>
          <w:szCs w:val="24"/>
        </w:rPr>
        <w:t xml:space="preserve"> </w:t>
      </w:r>
      <w:proofErr w:type="gramStart"/>
      <w:r>
        <w:rPr>
          <w:sz w:val="24"/>
          <w:szCs w:val="24"/>
        </w:rPr>
        <w:t>Leader  i</w:t>
      </w:r>
      <w:proofErr w:type="gramEnd"/>
      <w:r>
        <w:rPr>
          <w:sz w:val="24"/>
          <w:szCs w:val="24"/>
        </w:rPr>
        <w:t xml:space="preserve"> uczestniczy </w:t>
      </w:r>
      <w:r w:rsidR="00A723CC">
        <w:rPr>
          <w:sz w:val="24"/>
          <w:szCs w:val="24"/>
        </w:rPr>
        <w:br/>
      </w:r>
      <w:r>
        <w:rPr>
          <w:sz w:val="24"/>
          <w:szCs w:val="24"/>
        </w:rPr>
        <w:t>w przedsięwzięciach organizowanych przez sieć.</w:t>
      </w:r>
    </w:p>
    <w:p w:rsidR="00310340" w:rsidRDefault="00EE6735">
      <w:pPr>
        <w:spacing w:after="0"/>
        <w:ind w:left="284"/>
        <w:jc w:val="both"/>
        <w:rPr>
          <w:sz w:val="24"/>
          <w:szCs w:val="24"/>
        </w:rPr>
      </w:pPr>
      <w:r>
        <w:rPr>
          <w:sz w:val="24"/>
          <w:szCs w:val="24"/>
        </w:rPr>
        <w:t>Stowarzyszenie współpracuje też z organizacjami i instytucjami z terenu LGD w zakresie organizacji spotkań i szkoleń oraz promocji obszaru poprzez organizację i prezentację stoisk promującego obszar LGD.</w:t>
      </w:r>
    </w:p>
    <w:p w:rsidR="00310340" w:rsidRDefault="00EE6735">
      <w:pPr>
        <w:spacing w:after="0"/>
        <w:ind w:left="284"/>
        <w:jc w:val="both"/>
        <w:rPr>
          <w:sz w:val="24"/>
          <w:szCs w:val="24"/>
        </w:rPr>
      </w:pPr>
      <w:r>
        <w:rPr>
          <w:sz w:val="24"/>
          <w:szCs w:val="24"/>
        </w:rPr>
        <w:t xml:space="preserve">Stowarzyszenie zgodnie ze statutem wspiera swoich członków, organizacje społeczne </w:t>
      </w:r>
      <w:r w:rsidR="00A723CC">
        <w:rPr>
          <w:sz w:val="24"/>
          <w:szCs w:val="24"/>
        </w:rPr>
        <w:br/>
      </w:r>
      <w:r>
        <w:rPr>
          <w:sz w:val="24"/>
          <w:szCs w:val="24"/>
        </w:rPr>
        <w:t xml:space="preserve">w realizowaniu zadań wynikających z ich statutów.  </w:t>
      </w:r>
    </w:p>
    <w:p w:rsidR="00310340" w:rsidRDefault="00EE6735">
      <w:pPr>
        <w:spacing w:after="0"/>
        <w:jc w:val="both"/>
        <w:rPr>
          <w:rFonts w:ascii="Arial" w:eastAsia="Arial" w:hAnsi="Arial" w:cs="Arial"/>
        </w:rPr>
      </w:pPr>
      <w:r>
        <w:rPr>
          <w:b/>
          <w:sz w:val="24"/>
          <w:szCs w:val="24"/>
        </w:rPr>
        <w:t xml:space="preserve">5. </w:t>
      </w:r>
      <w:r w:rsidR="00526B21">
        <w:rPr>
          <w:sz w:val="24"/>
          <w:szCs w:val="24"/>
        </w:rPr>
        <w:t>Stowarzyszenie w</w:t>
      </w:r>
      <w:r>
        <w:rPr>
          <w:sz w:val="24"/>
          <w:szCs w:val="24"/>
        </w:rPr>
        <w:t xml:space="preserve"> dniu 13 września 2016 </w:t>
      </w:r>
      <w:proofErr w:type="gramStart"/>
      <w:r>
        <w:rPr>
          <w:sz w:val="24"/>
          <w:szCs w:val="24"/>
        </w:rPr>
        <w:t>roku,</w:t>
      </w:r>
      <w:proofErr w:type="gramEnd"/>
      <w:r>
        <w:rPr>
          <w:sz w:val="24"/>
          <w:szCs w:val="24"/>
        </w:rPr>
        <w:t xml:space="preserve"> jako pierwsze w województwie zachodniopomorskim ogłosiło dwa nabory wniosków na przyznanie pomocy w ramach </w:t>
      </w:r>
      <w:r w:rsidRPr="00C04CF9">
        <w:rPr>
          <w:rFonts w:asciiTheme="minorHAnsi" w:hAnsiTheme="minorHAnsi" w:cstheme="minorHAnsi"/>
          <w:color w:val="auto"/>
          <w:sz w:val="24"/>
          <w:szCs w:val="24"/>
        </w:rPr>
        <w:t>poddziałania 19.2</w:t>
      </w:r>
      <w:r w:rsidRPr="00C04CF9">
        <w:rPr>
          <w:rFonts w:asciiTheme="minorHAnsi" w:eastAsia="Arial" w:hAnsiTheme="minorHAnsi" w:cstheme="minorHAnsi"/>
          <w:color w:val="auto"/>
          <w:sz w:val="24"/>
          <w:szCs w:val="24"/>
        </w:rPr>
        <w:t xml:space="preserve"> </w:t>
      </w:r>
      <w:r w:rsidRPr="00C04CF9">
        <w:rPr>
          <w:rFonts w:asciiTheme="minorHAnsi" w:eastAsia="Arial" w:hAnsiTheme="minorHAnsi" w:cstheme="minorHAnsi"/>
          <w:color w:val="auto"/>
          <w:sz w:val="24"/>
          <w:szCs w:val="24"/>
          <w:shd w:val="clear" w:color="auto" w:fill="F9F9F9"/>
        </w:rPr>
        <w:t>„Wsparcie na wdrażanie operacji w ramach strategii rozwoju kierowanego przez społeczność”, objętego Programem Rozwoju Obszarów Wiejskich na lata 2014-2020</w:t>
      </w:r>
      <w:r>
        <w:rPr>
          <w:rFonts w:ascii="Arial" w:eastAsia="Arial" w:hAnsi="Arial" w:cs="Arial"/>
        </w:rPr>
        <w:t>:</w:t>
      </w:r>
    </w:p>
    <w:p w:rsidR="00310340" w:rsidRDefault="00EE6735">
      <w:pPr>
        <w:numPr>
          <w:ilvl w:val="0"/>
          <w:numId w:val="6"/>
        </w:numPr>
        <w:spacing w:after="0"/>
        <w:ind w:hanging="360"/>
        <w:contextualSpacing/>
        <w:jc w:val="both"/>
        <w:rPr>
          <w:sz w:val="24"/>
          <w:szCs w:val="24"/>
        </w:rPr>
      </w:pPr>
      <w:r>
        <w:rPr>
          <w:sz w:val="24"/>
          <w:szCs w:val="24"/>
        </w:rPr>
        <w:t xml:space="preserve">Rozwijanie działalności gospodarczej (w ramach rozwoju przedsiębiorczości), na który przeznaczono 3 000 000,00 zł. Na to poddziałanie złożono 20 wniosków na kwotę znacznie przewyższającą alokację. </w:t>
      </w:r>
    </w:p>
    <w:p w:rsidR="00310340" w:rsidRDefault="00EE6735">
      <w:pPr>
        <w:numPr>
          <w:ilvl w:val="0"/>
          <w:numId w:val="6"/>
        </w:numPr>
        <w:spacing w:after="0"/>
        <w:ind w:hanging="360"/>
        <w:contextualSpacing/>
        <w:jc w:val="both"/>
        <w:rPr>
          <w:sz w:val="24"/>
          <w:szCs w:val="24"/>
        </w:rPr>
      </w:pPr>
      <w:r>
        <w:rPr>
          <w:sz w:val="24"/>
          <w:szCs w:val="24"/>
        </w:rPr>
        <w:t xml:space="preserve">Wzmocnienie kapitału społecznego, na które przeznaczono 1 320 000,00 zł. Złożono 10 wniosków. </w:t>
      </w:r>
    </w:p>
    <w:p w:rsidR="00310340" w:rsidRDefault="00EE6735">
      <w:pPr>
        <w:spacing w:after="0"/>
        <w:jc w:val="both"/>
        <w:rPr>
          <w:sz w:val="24"/>
          <w:szCs w:val="24"/>
        </w:rPr>
      </w:pPr>
      <w:r>
        <w:rPr>
          <w:sz w:val="24"/>
          <w:szCs w:val="24"/>
        </w:rPr>
        <w:t>W obecnej chwili podpisano już 5 wniosków na rozwój firm oraz 8 wniosków na wzmocnienie kapitału społecznego.</w:t>
      </w:r>
    </w:p>
    <w:p w:rsidR="00310340" w:rsidRDefault="00EE6735">
      <w:pPr>
        <w:spacing w:after="0"/>
        <w:jc w:val="both"/>
        <w:rPr>
          <w:b/>
          <w:sz w:val="24"/>
          <w:szCs w:val="24"/>
        </w:rPr>
      </w:pPr>
      <w:r>
        <w:rPr>
          <w:b/>
          <w:sz w:val="24"/>
          <w:szCs w:val="24"/>
        </w:rPr>
        <w:t>6. Projekt współpracy</w:t>
      </w:r>
    </w:p>
    <w:p w:rsidR="00310340" w:rsidRDefault="00EE6735">
      <w:pPr>
        <w:spacing w:after="0"/>
        <w:jc w:val="both"/>
        <w:rPr>
          <w:sz w:val="24"/>
          <w:szCs w:val="24"/>
        </w:rPr>
      </w:pPr>
      <w:r>
        <w:rPr>
          <w:sz w:val="24"/>
          <w:szCs w:val="24"/>
        </w:rPr>
        <w:t>Stowarzyszenie zgodnie ze złożoną LSR, rozpoczęło przygotowywanie projektów współpracy:</w:t>
      </w:r>
    </w:p>
    <w:p w:rsidR="00310340" w:rsidRDefault="00EE6735">
      <w:pPr>
        <w:numPr>
          <w:ilvl w:val="0"/>
          <w:numId w:val="2"/>
        </w:numPr>
        <w:spacing w:after="0"/>
        <w:ind w:hanging="360"/>
        <w:contextualSpacing/>
        <w:jc w:val="both"/>
        <w:rPr>
          <w:sz w:val="24"/>
          <w:szCs w:val="24"/>
        </w:rPr>
      </w:pPr>
      <w:r>
        <w:rPr>
          <w:sz w:val="24"/>
          <w:szCs w:val="24"/>
        </w:rPr>
        <w:t>Międzynarodowy projekt współpracy „Młodzieżowa Akademia Komunikacji” – jesteśmy liderem projektu – 11 LGD w tym 1 z Republiki Czech (MAS Opavsko)</w:t>
      </w:r>
    </w:p>
    <w:p w:rsidR="00310340" w:rsidRDefault="00EE6735">
      <w:pPr>
        <w:numPr>
          <w:ilvl w:val="0"/>
          <w:numId w:val="2"/>
        </w:numPr>
        <w:spacing w:after="0"/>
        <w:ind w:hanging="360"/>
        <w:contextualSpacing/>
        <w:jc w:val="both"/>
        <w:rPr>
          <w:sz w:val="24"/>
          <w:szCs w:val="24"/>
        </w:rPr>
      </w:pPr>
      <w:r>
        <w:rPr>
          <w:sz w:val="24"/>
          <w:szCs w:val="24"/>
        </w:rPr>
        <w:t>Aplikacja multimedialna – polskietrasy.pl – 11 LGD z województwa zachodniopomorskiego, lubuskiego i łódzkiego.</w:t>
      </w:r>
    </w:p>
    <w:p w:rsidR="00310340" w:rsidRDefault="00EE6735">
      <w:pPr>
        <w:numPr>
          <w:ilvl w:val="0"/>
          <w:numId w:val="2"/>
        </w:numPr>
        <w:spacing w:after="0"/>
        <w:ind w:hanging="360"/>
        <w:contextualSpacing/>
        <w:jc w:val="both"/>
        <w:rPr>
          <w:sz w:val="24"/>
          <w:szCs w:val="24"/>
        </w:rPr>
      </w:pPr>
      <w:r>
        <w:rPr>
          <w:sz w:val="24"/>
          <w:szCs w:val="24"/>
        </w:rPr>
        <w:t xml:space="preserve">Międzynarodowy projekt współpracy „Jie skrenda” – 3 LGD (Lider Pojezierza i 2 </w:t>
      </w:r>
      <w:r w:rsidR="00A723CC">
        <w:rPr>
          <w:sz w:val="24"/>
          <w:szCs w:val="24"/>
        </w:rPr>
        <w:br/>
      </w:r>
      <w:r>
        <w:rPr>
          <w:sz w:val="24"/>
          <w:szCs w:val="24"/>
        </w:rPr>
        <w:t xml:space="preserve">z Republiki Litewskiej) </w:t>
      </w:r>
    </w:p>
    <w:p w:rsidR="00310340" w:rsidRDefault="00EE6735">
      <w:pPr>
        <w:numPr>
          <w:ilvl w:val="0"/>
          <w:numId w:val="2"/>
        </w:numPr>
        <w:spacing w:after="0"/>
        <w:ind w:hanging="360"/>
        <w:contextualSpacing/>
        <w:jc w:val="both"/>
        <w:rPr>
          <w:sz w:val="24"/>
          <w:szCs w:val="24"/>
        </w:rPr>
      </w:pPr>
      <w:r>
        <w:rPr>
          <w:sz w:val="24"/>
          <w:szCs w:val="24"/>
        </w:rPr>
        <w:t xml:space="preserve">Projekt współpracy </w:t>
      </w:r>
      <w:r w:rsidR="00526B21">
        <w:rPr>
          <w:sz w:val="24"/>
          <w:szCs w:val="24"/>
        </w:rPr>
        <w:t>rybacki “</w:t>
      </w:r>
      <w:r>
        <w:rPr>
          <w:sz w:val="24"/>
          <w:szCs w:val="24"/>
        </w:rPr>
        <w:t>Bogactwo naszych jezior-promocja obszarów historycznie związanych z rybactwem” - trzy LGD wielofunduszowe.</w:t>
      </w:r>
    </w:p>
    <w:p w:rsidR="00310340" w:rsidRDefault="00EE6735">
      <w:pPr>
        <w:spacing w:after="0"/>
        <w:jc w:val="both"/>
        <w:rPr>
          <w:b/>
          <w:sz w:val="24"/>
          <w:szCs w:val="24"/>
        </w:rPr>
      </w:pPr>
      <w:r>
        <w:rPr>
          <w:b/>
          <w:sz w:val="24"/>
          <w:szCs w:val="24"/>
        </w:rPr>
        <w:t>7. Wizyty studyjne oraz zadania realizowane w ramach środków KSOW</w:t>
      </w:r>
    </w:p>
    <w:p w:rsidR="00310340" w:rsidRDefault="00EE6735">
      <w:pPr>
        <w:numPr>
          <w:ilvl w:val="0"/>
          <w:numId w:val="1"/>
        </w:numPr>
        <w:spacing w:after="0"/>
        <w:ind w:hanging="360"/>
        <w:contextualSpacing/>
        <w:jc w:val="both"/>
        <w:rPr>
          <w:sz w:val="24"/>
          <w:szCs w:val="24"/>
        </w:rPr>
      </w:pPr>
      <w:r>
        <w:rPr>
          <w:sz w:val="24"/>
          <w:szCs w:val="24"/>
        </w:rPr>
        <w:t xml:space="preserve">Wyjazd studyjny na </w:t>
      </w:r>
      <w:proofErr w:type="spellStart"/>
      <w:r>
        <w:rPr>
          <w:sz w:val="24"/>
          <w:szCs w:val="24"/>
        </w:rPr>
        <w:t>Litexpo</w:t>
      </w:r>
      <w:proofErr w:type="spellEnd"/>
      <w:r>
        <w:rPr>
          <w:sz w:val="24"/>
          <w:szCs w:val="24"/>
        </w:rPr>
        <w:t xml:space="preserve"> w Wilnie i do Kowna we wrześniu 2016 roku. </w:t>
      </w:r>
    </w:p>
    <w:p w:rsidR="00310340" w:rsidRDefault="00EE6735">
      <w:pPr>
        <w:numPr>
          <w:ilvl w:val="0"/>
          <w:numId w:val="1"/>
        </w:numPr>
        <w:spacing w:after="0"/>
        <w:ind w:hanging="360"/>
        <w:contextualSpacing/>
        <w:jc w:val="both"/>
        <w:rPr>
          <w:sz w:val="24"/>
          <w:szCs w:val="24"/>
        </w:rPr>
      </w:pPr>
      <w:r>
        <w:rPr>
          <w:sz w:val="24"/>
          <w:szCs w:val="24"/>
        </w:rPr>
        <w:t xml:space="preserve">Udział w konferencji podczas targów </w:t>
      </w:r>
      <w:proofErr w:type="spellStart"/>
      <w:r>
        <w:rPr>
          <w:sz w:val="24"/>
          <w:szCs w:val="24"/>
        </w:rPr>
        <w:t>Litexpo</w:t>
      </w:r>
      <w:proofErr w:type="spellEnd"/>
      <w:r>
        <w:rPr>
          <w:sz w:val="24"/>
          <w:szCs w:val="24"/>
        </w:rPr>
        <w:t xml:space="preserve"> w Wilnie oraz prezentacja </w:t>
      </w:r>
      <w:r>
        <w:rPr>
          <w:sz w:val="24"/>
          <w:szCs w:val="24"/>
        </w:rPr>
        <w:lastRenderedPageBreak/>
        <w:t>zrealizowanego wspólnie projektu współpracy „Mus jungia” oraz prezentacja kolejnego projektu współpracy „Jie skrenda” realizowanego w roku 2018. Na naszym stoisku gościliśmy Pa</w:t>
      </w:r>
      <w:bookmarkStart w:id="0" w:name="_GoBack"/>
      <w:bookmarkEnd w:id="0"/>
      <w:r>
        <w:rPr>
          <w:sz w:val="24"/>
          <w:szCs w:val="24"/>
        </w:rPr>
        <w:t>n</w:t>
      </w:r>
      <w:r w:rsidR="00B3464D">
        <w:rPr>
          <w:sz w:val="24"/>
          <w:szCs w:val="24"/>
        </w:rPr>
        <w:t>i</w:t>
      </w:r>
      <w:r>
        <w:rPr>
          <w:sz w:val="24"/>
          <w:szCs w:val="24"/>
        </w:rPr>
        <w:t xml:space="preserve">ą Prezydent Republiki Litewskiej </w:t>
      </w:r>
    </w:p>
    <w:p w:rsidR="00310340" w:rsidRDefault="00EE6735">
      <w:pPr>
        <w:spacing w:after="0"/>
        <w:jc w:val="both"/>
        <w:rPr>
          <w:rFonts w:ascii="Times New Roman" w:eastAsia="Times New Roman" w:hAnsi="Times New Roman" w:cs="Times New Roman"/>
          <w:color w:val="424242"/>
          <w:sz w:val="24"/>
          <w:szCs w:val="24"/>
        </w:rPr>
      </w:pPr>
      <w:r>
        <w:rPr>
          <w:b/>
          <w:sz w:val="24"/>
          <w:szCs w:val="24"/>
        </w:rPr>
        <w:t>8.</w:t>
      </w:r>
      <w:r>
        <w:rPr>
          <w:sz w:val="24"/>
          <w:szCs w:val="24"/>
        </w:rPr>
        <w:t xml:space="preserve">  Realizacja zasad charakteryzujących europejski </w:t>
      </w:r>
      <w:r>
        <w:rPr>
          <w:rFonts w:ascii="Times New Roman" w:eastAsia="Times New Roman" w:hAnsi="Times New Roman" w:cs="Times New Roman"/>
          <w:color w:val="424242"/>
          <w:sz w:val="24"/>
          <w:szCs w:val="24"/>
        </w:rPr>
        <w:t>program LEADER:</w:t>
      </w:r>
    </w:p>
    <w:p w:rsidR="00310340" w:rsidRDefault="00EE6735">
      <w:pPr>
        <w:numPr>
          <w:ilvl w:val="0"/>
          <w:numId w:val="3"/>
        </w:numPr>
        <w:spacing w:after="80"/>
        <w:ind w:hanging="360"/>
        <w:contextualSpacing/>
        <w:jc w:val="both"/>
        <w:rPr>
          <w:rFonts w:ascii="Arial" w:eastAsia="Arial" w:hAnsi="Arial" w:cs="Arial"/>
          <w:color w:val="424242"/>
        </w:rPr>
      </w:pPr>
      <w:r>
        <w:rPr>
          <w:rFonts w:ascii="Times New Roman" w:eastAsia="Times New Roman" w:hAnsi="Times New Roman" w:cs="Times New Roman"/>
          <w:color w:val="424242"/>
          <w:sz w:val="24"/>
          <w:szCs w:val="24"/>
        </w:rPr>
        <w:t>Współpraca</w:t>
      </w:r>
      <w:r>
        <w:rPr>
          <w:rFonts w:ascii="Times New Roman" w:eastAsia="Times New Roman" w:hAnsi="Times New Roman" w:cs="Times New Roman"/>
          <w:b/>
          <w:color w:val="424242"/>
          <w:sz w:val="24"/>
          <w:szCs w:val="24"/>
        </w:rPr>
        <w:t xml:space="preserve"> </w:t>
      </w:r>
      <w:r>
        <w:rPr>
          <w:rFonts w:ascii="Times New Roman" w:eastAsia="Times New Roman" w:hAnsi="Times New Roman" w:cs="Times New Roman"/>
          <w:color w:val="424242"/>
          <w:sz w:val="24"/>
          <w:szCs w:val="24"/>
        </w:rPr>
        <w:t xml:space="preserve">z innymi LGD w regionie, kraju czy zagranicą - </w:t>
      </w:r>
    </w:p>
    <w:p w:rsidR="00310340" w:rsidRPr="00526B21" w:rsidRDefault="00EE6735" w:rsidP="00526B21">
      <w:pPr>
        <w:numPr>
          <w:ilvl w:val="0"/>
          <w:numId w:val="5"/>
        </w:numPr>
        <w:spacing w:after="80"/>
        <w:ind w:hanging="360"/>
        <w:contextualSpacing/>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udział w maju przedstawicieli Stowarzyszenia w </w:t>
      </w:r>
      <w:r w:rsidR="00B3464D">
        <w:rPr>
          <w:rFonts w:ascii="Times New Roman" w:eastAsia="Times New Roman" w:hAnsi="Times New Roman" w:cs="Times New Roman"/>
          <w:color w:val="424242"/>
          <w:sz w:val="24"/>
          <w:szCs w:val="24"/>
        </w:rPr>
        <w:t>Leaderfest</w:t>
      </w:r>
      <w:r>
        <w:rPr>
          <w:rFonts w:ascii="Times New Roman" w:eastAsia="Times New Roman" w:hAnsi="Times New Roman" w:cs="Times New Roman"/>
          <w:color w:val="424242"/>
          <w:sz w:val="24"/>
          <w:szCs w:val="24"/>
        </w:rPr>
        <w:t xml:space="preserve"> w Czechach, gdzie ustalono szczegóły projektu współpracy Młodzieżowej Akademii Komunikacji oraz udział w konferencji dotyczącej dobrych praktyk. </w:t>
      </w:r>
    </w:p>
    <w:p w:rsidR="00526B21" w:rsidRDefault="00EE6735" w:rsidP="00526B21">
      <w:pPr>
        <w:numPr>
          <w:ilvl w:val="0"/>
          <w:numId w:val="3"/>
        </w:numPr>
        <w:spacing w:after="0"/>
        <w:ind w:hanging="360"/>
        <w:contextualSpacing/>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Stowarzyszenie zainicjowało wiele działań wzmacniających aktywność mieszkańców obszaru</w:t>
      </w:r>
      <w:r>
        <w:rPr>
          <w:rFonts w:ascii="Arial" w:eastAsia="Arial" w:hAnsi="Arial" w:cs="Arial"/>
          <w:color w:val="424242"/>
          <w:sz w:val="24"/>
          <w:szCs w:val="24"/>
        </w:rPr>
        <w:t>.</w:t>
      </w:r>
      <w:r>
        <w:rPr>
          <w:rFonts w:ascii="Times New Roman" w:eastAsia="Times New Roman" w:hAnsi="Times New Roman" w:cs="Times New Roman"/>
          <w:color w:val="424242"/>
          <w:sz w:val="24"/>
          <w:szCs w:val="24"/>
        </w:rPr>
        <w:t xml:space="preserve"> </w:t>
      </w:r>
    </w:p>
    <w:p w:rsidR="00526B21" w:rsidRPr="00526B21" w:rsidRDefault="00526B21" w:rsidP="00526B21">
      <w:pPr>
        <w:numPr>
          <w:ilvl w:val="0"/>
          <w:numId w:val="3"/>
        </w:numPr>
        <w:spacing w:after="0"/>
        <w:ind w:hanging="360"/>
        <w:contextualSpacing/>
        <w:jc w:val="both"/>
        <w:rPr>
          <w:rFonts w:ascii="Times New Roman" w:eastAsia="Times New Roman" w:hAnsi="Times New Roman" w:cs="Times New Roman"/>
          <w:color w:val="424242"/>
          <w:sz w:val="24"/>
          <w:szCs w:val="24"/>
        </w:rPr>
      </w:pPr>
      <w:r w:rsidRPr="00526B21">
        <w:rPr>
          <w:rFonts w:ascii="Times New Roman" w:eastAsia="Times New Roman" w:hAnsi="Times New Roman" w:cs="Times New Roman"/>
          <w:color w:val="424242"/>
          <w:sz w:val="24"/>
          <w:szCs w:val="24"/>
        </w:rPr>
        <w:t>Rozpoczęliśmy działania związane z ograniczeniem ubóstwa energetycznego mieszkańców naszego obszaru:</w:t>
      </w:r>
    </w:p>
    <w:p w:rsidR="00310340" w:rsidRDefault="00EE6735" w:rsidP="00526B21">
      <w:pPr>
        <w:numPr>
          <w:ilvl w:val="0"/>
          <w:numId w:val="4"/>
        </w:numPr>
        <w:ind w:hanging="360"/>
        <w:contextualSpacing/>
      </w:pPr>
      <w:bookmarkStart w:id="1" w:name="_tbe7iaqdeqrc" w:colFirst="0" w:colLast="0"/>
      <w:bookmarkEnd w:id="1"/>
      <w:r>
        <w:t>organizowanie trzech konferencji w Przelewicach wspólnie z Gminą Przelewice oraz członkami naszego Stowarzyszenia, dotyczące niezależności energetycznej.</w:t>
      </w:r>
    </w:p>
    <w:p w:rsidR="00526B21" w:rsidRPr="00526B21" w:rsidRDefault="00526B21" w:rsidP="00526B21">
      <w:pPr>
        <w:numPr>
          <w:ilvl w:val="0"/>
          <w:numId w:val="4"/>
        </w:numPr>
        <w:ind w:hanging="360"/>
        <w:contextualSpacing/>
      </w:pPr>
      <w:r>
        <w:t>Rozpoczęcie współpracy z Zachodniopomorskim Uniwersytetem Technologicznym wydziałem Ekonomii,</w:t>
      </w:r>
    </w:p>
    <w:p w:rsidR="00310340" w:rsidRDefault="00310340">
      <w:pPr>
        <w:spacing w:after="0"/>
        <w:jc w:val="both"/>
        <w:rPr>
          <w:rFonts w:ascii="Times New Roman" w:eastAsia="Times New Roman" w:hAnsi="Times New Roman" w:cs="Times New Roman"/>
          <w:color w:val="424242"/>
          <w:sz w:val="24"/>
          <w:szCs w:val="24"/>
        </w:rPr>
      </w:pPr>
    </w:p>
    <w:p w:rsidR="00310340" w:rsidRDefault="00EE6735">
      <w:pPr>
        <w:spacing w:after="0"/>
        <w:jc w:val="both"/>
        <w:rPr>
          <w:b/>
          <w:sz w:val="24"/>
          <w:szCs w:val="24"/>
        </w:rPr>
      </w:pPr>
      <w:r>
        <w:rPr>
          <w:b/>
          <w:sz w:val="24"/>
          <w:szCs w:val="24"/>
        </w:rPr>
        <w:t>9. Pozyskiwanie środków</w:t>
      </w:r>
    </w:p>
    <w:p w:rsidR="00310340" w:rsidRDefault="00EE6735">
      <w:pPr>
        <w:spacing w:after="0"/>
        <w:ind w:left="284"/>
        <w:jc w:val="both"/>
        <w:rPr>
          <w:sz w:val="24"/>
          <w:szCs w:val="24"/>
        </w:rPr>
      </w:pPr>
      <w:r>
        <w:rPr>
          <w:sz w:val="24"/>
          <w:szCs w:val="24"/>
        </w:rPr>
        <w:t xml:space="preserve">Stowarzyszenie Lider Pojezierza na realizację swoich zadań statutowych wnioskował </w:t>
      </w:r>
      <w:r w:rsidR="00A723CC">
        <w:rPr>
          <w:sz w:val="24"/>
          <w:szCs w:val="24"/>
        </w:rPr>
        <w:br/>
      </w:r>
      <w:r>
        <w:rPr>
          <w:sz w:val="24"/>
          <w:szCs w:val="24"/>
        </w:rPr>
        <w:t>o środki do KSOW, PUP, Fundacji Polsko-Litewskiej i FIO.</w:t>
      </w:r>
    </w:p>
    <w:p w:rsidR="00310340" w:rsidRDefault="00EE6735">
      <w:pPr>
        <w:spacing w:after="0"/>
        <w:jc w:val="both"/>
        <w:rPr>
          <w:b/>
          <w:sz w:val="24"/>
          <w:szCs w:val="24"/>
        </w:rPr>
      </w:pPr>
      <w:r>
        <w:rPr>
          <w:b/>
          <w:sz w:val="24"/>
          <w:szCs w:val="24"/>
        </w:rPr>
        <w:t>10. Działalność informacyjna, promocja</w:t>
      </w:r>
    </w:p>
    <w:p w:rsidR="00310340" w:rsidRDefault="00EE6735">
      <w:pPr>
        <w:spacing w:after="0"/>
        <w:ind w:left="284" w:hanging="284"/>
        <w:jc w:val="both"/>
        <w:rPr>
          <w:sz w:val="24"/>
          <w:szCs w:val="24"/>
        </w:rPr>
      </w:pPr>
      <w:r>
        <w:rPr>
          <w:sz w:val="24"/>
          <w:szCs w:val="24"/>
        </w:rPr>
        <w:t xml:space="preserve">    Wszystkie działania są na bieżąco zamieszczane na stronie </w:t>
      </w:r>
      <w:hyperlink r:id="rId8">
        <w:r>
          <w:rPr>
            <w:color w:val="0000FF"/>
            <w:sz w:val="24"/>
            <w:szCs w:val="24"/>
            <w:u w:val="single"/>
          </w:rPr>
          <w:t>www.liderpojezierza.pl</w:t>
        </w:r>
      </w:hyperlink>
    </w:p>
    <w:p w:rsidR="00310340" w:rsidRDefault="00EE6735">
      <w:pPr>
        <w:spacing w:after="0"/>
        <w:jc w:val="both"/>
        <w:rPr>
          <w:b/>
          <w:sz w:val="24"/>
          <w:szCs w:val="24"/>
        </w:rPr>
      </w:pPr>
      <w:r>
        <w:rPr>
          <w:b/>
          <w:sz w:val="24"/>
          <w:szCs w:val="24"/>
        </w:rPr>
        <w:t>11. Finanse stowarzyszenia</w:t>
      </w:r>
    </w:p>
    <w:p w:rsidR="00310340" w:rsidRDefault="00EE6735">
      <w:pPr>
        <w:spacing w:after="0"/>
        <w:jc w:val="both"/>
        <w:rPr>
          <w:sz w:val="24"/>
          <w:szCs w:val="24"/>
        </w:rPr>
      </w:pPr>
      <w:r>
        <w:rPr>
          <w:sz w:val="24"/>
          <w:szCs w:val="24"/>
        </w:rPr>
        <w:t xml:space="preserve">    Sprawozdanie finansowe za 2016 r. stanowi odrębny dokument.</w:t>
      </w:r>
    </w:p>
    <w:p w:rsidR="00310340" w:rsidRPr="00526B21" w:rsidRDefault="00EE6735">
      <w:pPr>
        <w:spacing w:after="0"/>
        <w:jc w:val="both"/>
        <w:rPr>
          <w:color w:val="auto"/>
          <w:sz w:val="24"/>
          <w:szCs w:val="24"/>
        </w:rPr>
      </w:pPr>
      <w:r w:rsidRPr="00526B21">
        <w:rPr>
          <w:color w:val="auto"/>
          <w:sz w:val="24"/>
          <w:szCs w:val="24"/>
        </w:rPr>
        <w:t>W 2016 r. pracownicy Urzędu Marszałkowskiego przeprowadzili kontrolę</w:t>
      </w:r>
      <w:r w:rsidRPr="00526B21">
        <w:rPr>
          <w:rFonts w:ascii="Times New Roman" w:eastAsia="Times New Roman" w:hAnsi="Times New Roman" w:cs="Times New Roman"/>
          <w:color w:val="auto"/>
          <w:sz w:val="14"/>
          <w:szCs w:val="14"/>
        </w:rPr>
        <w:t xml:space="preserve"> </w:t>
      </w:r>
      <w:r w:rsidRPr="00526B21">
        <w:rPr>
          <w:rFonts w:ascii="Times New Roman" w:eastAsia="Times New Roman" w:hAnsi="Times New Roman" w:cs="Times New Roman"/>
          <w:color w:val="auto"/>
          <w:sz w:val="24"/>
          <w:szCs w:val="24"/>
        </w:rPr>
        <w:t xml:space="preserve">w zakresie </w:t>
      </w:r>
      <w:r w:rsidRPr="00526B21">
        <w:rPr>
          <w:rFonts w:ascii="Arial" w:eastAsia="Arial" w:hAnsi="Arial" w:cs="Arial"/>
          <w:color w:val="auto"/>
          <w:sz w:val="20"/>
          <w:szCs w:val="20"/>
        </w:rPr>
        <w:t>realizacji prz</w:t>
      </w:r>
      <w:r w:rsidRPr="00526B21">
        <w:rPr>
          <w:color w:val="auto"/>
          <w:sz w:val="24"/>
          <w:szCs w:val="24"/>
        </w:rPr>
        <w:t>ez Stowarzyszenie umowy o warunkach i sposobie realizacji strategii rozwoju lokalnego kierowanego przez społeczność, która odbyła się w dniu 17.11.2016 r. i nie wykazała uchybień oraz nieprawidłowości.</w:t>
      </w:r>
    </w:p>
    <w:p w:rsidR="00544BAC" w:rsidRPr="00154B2D" w:rsidRDefault="00544BAC" w:rsidP="00544BAC">
      <w:pPr>
        <w:spacing w:after="0"/>
        <w:jc w:val="both"/>
        <w:rPr>
          <w:b/>
          <w:color w:val="auto"/>
          <w:sz w:val="24"/>
          <w:szCs w:val="24"/>
        </w:rPr>
      </w:pPr>
      <w:r w:rsidRPr="00154B2D">
        <w:rPr>
          <w:b/>
          <w:color w:val="auto"/>
          <w:sz w:val="24"/>
          <w:szCs w:val="24"/>
        </w:rPr>
        <w:t>12. Zamierzenia na 2017 r.</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 xml:space="preserve">Administrowanie Stowarzyszeniem. </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Działania informacyjne dotyczące realizacji LSR lub działalności LGD, które mają na celu wspomaganie komunikacji LGD z wnioskodawcami i mieszkańcami obszaru objętego LSR</w:t>
      </w:r>
      <w:r w:rsidR="00754DBB" w:rsidRPr="00154B2D">
        <w:rPr>
          <w:color w:val="auto"/>
          <w:sz w:val="24"/>
          <w:szCs w:val="24"/>
        </w:rPr>
        <w:t>, podkreśla</w:t>
      </w:r>
      <w:r w:rsidRPr="00154B2D">
        <w:rPr>
          <w:color w:val="auto"/>
          <w:sz w:val="24"/>
          <w:szCs w:val="24"/>
        </w:rPr>
        <w:t xml:space="preserve">nie tożsamości i charakteru </w:t>
      </w:r>
      <w:r w:rsidR="00754DBB" w:rsidRPr="00154B2D">
        <w:rPr>
          <w:color w:val="auto"/>
          <w:sz w:val="24"/>
          <w:szCs w:val="24"/>
        </w:rPr>
        <w:t>Stowarzyszenia, budowanie</w:t>
      </w:r>
      <w:r w:rsidRPr="00154B2D">
        <w:rPr>
          <w:color w:val="auto"/>
          <w:sz w:val="24"/>
          <w:szCs w:val="24"/>
        </w:rPr>
        <w:t xml:space="preserve"> </w:t>
      </w:r>
      <w:r w:rsidR="00754DBB" w:rsidRPr="00154B2D">
        <w:rPr>
          <w:color w:val="auto"/>
          <w:sz w:val="24"/>
          <w:szCs w:val="24"/>
        </w:rPr>
        <w:t>i zacieśnianie</w:t>
      </w:r>
      <w:r w:rsidRPr="00154B2D">
        <w:rPr>
          <w:color w:val="auto"/>
          <w:sz w:val="24"/>
          <w:szCs w:val="24"/>
        </w:rPr>
        <w:t xml:space="preserve"> więzów między LGD i </w:t>
      </w:r>
      <w:r w:rsidR="00754DBB" w:rsidRPr="00154B2D">
        <w:rPr>
          <w:color w:val="auto"/>
          <w:sz w:val="24"/>
          <w:szCs w:val="24"/>
        </w:rPr>
        <w:t>lokalna społecznością</w:t>
      </w:r>
      <w:r w:rsidRPr="00154B2D">
        <w:rPr>
          <w:color w:val="auto"/>
          <w:sz w:val="24"/>
          <w:szCs w:val="24"/>
        </w:rPr>
        <w:t>.</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 xml:space="preserve">Szkolenia pracowników Biura LGD, członków Zarządu oraz członków </w:t>
      </w:r>
      <w:r w:rsidR="00D22330" w:rsidRPr="00154B2D">
        <w:rPr>
          <w:color w:val="auto"/>
          <w:sz w:val="24"/>
          <w:szCs w:val="24"/>
        </w:rPr>
        <w:t xml:space="preserve">Rady </w:t>
      </w:r>
      <w:r w:rsidRPr="00154B2D">
        <w:rPr>
          <w:color w:val="auto"/>
          <w:sz w:val="24"/>
          <w:szCs w:val="24"/>
        </w:rPr>
        <w:t>– przewiduje się przeprowadzenie szkolenia w zakresie prowadzenia ewaluacji, analizy i oceny wskaźników LSR.</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Realizacja wydarzeń promocyjnych lub kulturalnych związanych z obszarem objętym LSR lub działalnością</w:t>
      </w:r>
      <w:r w:rsidR="00D22330" w:rsidRPr="00154B2D">
        <w:rPr>
          <w:color w:val="auto"/>
          <w:sz w:val="24"/>
          <w:szCs w:val="24"/>
        </w:rPr>
        <w:t xml:space="preserve"> Stowarzyszenia</w:t>
      </w:r>
      <w:r w:rsidRPr="00154B2D">
        <w:rPr>
          <w:color w:val="auto"/>
          <w:sz w:val="24"/>
          <w:szCs w:val="24"/>
        </w:rPr>
        <w:t xml:space="preserve">. </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 xml:space="preserve">Działania aktywizujące lokalne społeczności – </w:t>
      </w:r>
      <w:r w:rsidR="00D22330" w:rsidRPr="00154B2D">
        <w:rPr>
          <w:color w:val="auto"/>
          <w:sz w:val="24"/>
          <w:szCs w:val="24"/>
        </w:rPr>
        <w:t xml:space="preserve">planuje się </w:t>
      </w:r>
      <w:r w:rsidR="00754DBB" w:rsidRPr="00154B2D">
        <w:rPr>
          <w:color w:val="auto"/>
          <w:sz w:val="24"/>
          <w:szCs w:val="24"/>
        </w:rPr>
        <w:t xml:space="preserve">m.in. </w:t>
      </w:r>
      <w:r w:rsidRPr="00154B2D">
        <w:rPr>
          <w:color w:val="auto"/>
          <w:sz w:val="24"/>
          <w:szCs w:val="24"/>
        </w:rPr>
        <w:t xml:space="preserve">organizację jednodniowych punktów informacyjnych podczas imprez organizowanych w Gminach należących do </w:t>
      </w:r>
      <w:r w:rsidR="00754DBB" w:rsidRPr="00154B2D">
        <w:rPr>
          <w:color w:val="auto"/>
          <w:sz w:val="24"/>
          <w:szCs w:val="24"/>
        </w:rPr>
        <w:t>Stowarzyszenia</w:t>
      </w:r>
      <w:r w:rsidRPr="00154B2D">
        <w:rPr>
          <w:color w:val="auto"/>
          <w:sz w:val="24"/>
          <w:szCs w:val="24"/>
        </w:rPr>
        <w:t xml:space="preserve"> oraz szkolenia z tematów zawartych w LSR, w tym </w:t>
      </w:r>
      <w:r w:rsidRPr="00154B2D">
        <w:rPr>
          <w:color w:val="auto"/>
          <w:sz w:val="24"/>
          <w:szCs w:val="24"/>
        </w:rPr>
        <w:lastRenderedPageBreak/>
        <w:t>informowanie o zasadach i procedurach naboru wniosków na przyznanie pomocy w roku 201</w:t>
      </w:r>
      <w:r w:rsidR="00D22330" w:rsidRPr="00154B2D">
        <w:rPr>
          <w:color w:val="auto"/>
          <w:sz w:val="24"/>
          <w:szCs w:val="24"/>
        </w:rPr>
        <w:t>7</w:t>
      </w:r>
      <w:r w:rsidRPr="00154B2D">
        <w:rPr>
          <w:color w:val="auto"/>
          <w:sz w:val="24"/>
          <w:szCs w:val="24"/>
        </w:rPr>
        <w:t xml:space="preserve">, z zakresu wytycznych i procedur, rozporządzeń oraz wypełniania wniosków </w:t>
      </w:r>
      <w:r w:rsidR="00A723CC" w:rsidRPr="00154B2D">
        <w:rPr>
          <w:color w:val="auto"/>
          <w:sz w:val="24"/>
          <w:szCs w:val="24"/>
        </w:rPr>
        <w:br/>
      </w:r>
      <w:r w:rsidRPr="00154B2D">
        <w:rPr>
          <w:color w:val="auto"/>
          <w:sz w:val="24"/>
          <w:szCs w:val="24"/>
        </w:rPr>
        <w:t xml:space="preserve">o przyznanie pomocy oraz wniosków o płatność. </w:t>
      </w:r>
      <w:r w:rsidR="00D22330" w:rsidRPr="00154B2D">
        <w:rPr>
          <w:color w:val="auto"/>
          <w:sz w:val="24"/>
          <w:szCs w:val="24"/>
        </w:rPr>
        <w:t xml:space="preserve">Także są przewidziane szkolenia </w:t>
      </w:r>
      <w:r w:rsidRPr="00154B2D">
        <w:rPr>
          <w:color w:val="auto"/>
          <w:sz w:val="24"/>
          <w:szCs w:val="24"/>
        </w:rPr>
        <w:t>dla potencjalnych beneficjentów</w:t>
      </w:r>
      <w:r w:rsidR="00D22330" w:rsidRPr="00154B2D">
        <w:rPr>
          <w:color w:val="auto"/>
          <w:sz w:val="24"/>
          <w:szCs w:val="24"/>
        </w:rPr>
        <w:t xml:space="preserve">, które </w:t>
      </w:r>
      <w:r w:rsidRPr="00154B2D">
        <w:rPr>
          <w:color w:val="auto"/>
          <w:sz w:val="24"/>
          <w:szCs w:val="24"/>
        </w:rPr>
        <w:t>będą organizowane przed planowanym</w:t>
      </w:r>
      <w:r w:rsidR="00D22330" w:rsidRPr="00154B2D">
        <w:rPr>
          <w:color w:val="auto"/>
          <w:sz w:val="24"/>
          <w:szCs w:val="24"/>
        </w:rPr>
        <w:t>i</w:t>
      </w:r>
      <w:r w:rsidRPr="00154B2D">
        <w:rPr>
          <w:color w:val="auto"/>
          <w:sz w:val="24"/>
          <w:szCs w:val="24"/>
        </w:rPr>
        <w:t xml:space="preserve"> nabor</w:t>
      </w:r>
      <w:r w:rsidR="00D22330" w:rsidRPr="00154B2D">
        <w:rPr>
          <w:color w:val="auto"/>
          <w:sz w:val="24"/>
          <w:szCs w:val="24"/>
        </w:rPr>
        <w:t>ami</w:t>
      </w:r>
      <w:r w:rsidRPr="00154B2D">
        <w:rPr>
          <w:color w:val="auto"/>
          <w:sz w:val="24"/>
          <w:szCs w:val="24"/>
        </w:rPr>
        <w:t>.</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 xml:space="preserve">Ogłoszenie w </w:t>
      </w:r>
      <w:r w:rsidR="00D22330" w:rsidRPr="00154B2D">
        <w:rPr>
          <w:color w:val="auto"/>
          <w:sz w:val="24"/>
          <w:szCs w:val="24"/>
        </w:rPr>
        <w:t xml:space="preserve">II półroczu 2017 </w:t>
      </w:r>
      <w:r w:rsidRPr="00154B2D">
        <w:rPr>
          <w:color w:val="auto"/>
          <w:sz w:val="24"/>
          <w:szCs w:val="24"/>
        </w:rPr>
        <w:t xml:space="preserve">r. </w:t>
      </w:r>
      <w:r w:rsidR="00D22330" w:rsidRPr="00154B2D">
        <w:rPr>
          <w:color w:val="auto"/>
          <w:sz w:val="24"/>
          <w:szCs w:val="24"/>
        </w:rPr>
        <w:t xml:space="preserve">kolejnych </w:t>
      </w:r>
      <w:r w:rsidR="00754DBB" w:rsidRPr="00154B2D">
        <w:rPr>
          <w:color w:val="auto"/>
          <w:sz w:val="24"/>
          <w:szCs w:val="24"/>
        </w:rPr>
        <w:t>naborów</w:t>
      </w:r>
      <w:r w:rsidRPr="00154B2D">
        <w:rPr>
          <w:color w:val="auto"/>
          <w:sz w:val="24"/>
          <w:szCs w:val="24"/>
        </w:rPr>
        <w:t xml:space="preserve"> wniosków </w:t>
      </w:r>
      <w:r w:rsidR="00D22330" w:rsidRPr="00154B2D">
        <w:rPr>
          <w:color w:val="auto"/>
          <w:sz w:val="24"/>
          <w:szCs w:val="24"/>
        </w:rPr>
        <w:t xml:space="preserve">o przyznanie pomocy, </w:t>
      </w:r>
      <w:r w:rsidR="00A723CC" w:rsidRPr="00154B2D">
        <w:rPr>
          <w:color w:val="auto"/>
          <w:sz w:val="24"/>
          <w:szCs w:val="24"/>
        </w:rPr>
        <w:br/>
      </w:r>
      <w:r w:rsidR="00D22330" w:rsidRPr="00154B2D">
        <w:rPr>
          <w:color w:val="auto"/>
          <w:sz w:val="24"/>
          <w:szCs w:val="24"/>
        </w:rPr>
        <w:t xml:space="preserve">w tym na projekty grantowe i operacje własne, </w:t>
      </w:r>
      <w:r w:rsidRPr="00154B2D">
        <w:rPr>
          <w:color w:val="auto"/>
          <w:sz w:val="24"/>
          <w:szCs w:val="24"/>
        </w:rPr>
        <w:t xml:space="preserve">w ramach </w:t>
      </w:r>
      <w:r w:rsidR="00754DBB" w:rsidRPr="00154B2D">
        <w:rPr>
          <w:color w:val="auto"/>
          <w:sz w:val="24"/>
          <w:szCs w:val="24"/>
        </w:rPr>
        <w:t>poddziałania 19.2 „Wsparcie na wdrażanie operacji w ramach strategii rozwoju lokalnego kierowanego przez społeczność”.</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Systematyczna aktualizacja strony Stowarzyszenia poprzez prezentację zamierzeń</w:t>
      </w:r>
      <w:r w:rsidR="00754DBB" w:rsidRPr="00154B2D">
        <w:rPr>
          <w:color w:val="auto"/>
          <w:sz w:val="24"/>
          <w:szCs w:val="24"/>
        </w:rPr>
        <w:t xml:space="preserve"> </w:t>
      </w:r>
      <w:r w:rsidR="00A723CC" w:rsidRPr="00154B2D">
        <w:rPr>
          <w:color w:val="auto"/>
          <w:sz w:val="24"/>
          <w:szCs w:val="24"/>
        </w:rPr>
        <w:br/>
      </w:r>
      <w:r w:rsidRPr="00154B2D">
        <w:rPr>
          <w:color w:val="auto"/>
          <w:sz w:val="24"/>
          <w:szCs w:val="24"/>
        </w:rPr>
        <w:t xml:space="preserve">i efektów pracy Stowarzyszenia. </w:t>
      </w:r>
    </w:p>
    <w:p w:rsidR="00544BAC" w:rsidRPr="00154B2D" w:rsidRDefault="00544BAC" w:rsidP="00754DBB">
      <w:pPr>
        <w:pStyle w:val="Akapitzlist"/>
        <w:numPr>
          <w:ilvl w:val="0"/>
          <w:numId w:val="9"/>
        </w:numPr>
        <w:jc w:val="both"/>
        <w:rPr>
          <w:color w:val="auto"/>
          <w:sz w:val="24"/>
          <w:szCs w:val="24"/>
        </w:rPr>
      </w:pPr>
      <w:r w:rsidRPr="00154B2D">
        <w:rPr>
          <w:color w:val="auto"/>
          <w:sz w:val="24"/>
          <w:szCs w:val="24"/>
        </w:rPr>
        <w:t>Promowanie Stowarzyszenia, jego działalności oraz obszaru objętego L</w:t>
      </w:r>
      <w:r w:rsidR="00754DBB" w:rsidRPr="00154B2D">
        <w:rPr>
          <w:color w:val="auto"/>
          <w:sz w:val="24"/>
          <w:szCs w:val="24"/>
        </w:rPr>
        <w:t>SR</w:t>
      </w:r>
      <w:r w:rsidRPr="00154B2D">
        <w:rPr>
          <w:color w:val="auto"/>
          <w:sz w:val="24"/>
          <w:szCs w:val="24"/>
        </w:rPr>
        <w:t xml:space="preserve"> poprzez m.in. uczestniczenie Stowarzyszenia w imprezach organizowanych przez Gminy należące do obszaru działania LSR oraz udział w imprezach promocyjnych poza obszarem objętym LSR</w:t>
      </w:r>
      <w:r w:rsidR="00754DBB" w:rsidRPr="00154B2D">
        <w:rPr>
          <w:color w:val="auto"/>
          <w:sz w:val="24"/>
          <w:szCs w:val="24"/>
        </w:rPr>
        <w:t xml:space="preserve"> </w:t>
      </w:r>
      <w:r w:rsidR="00154B2D" w:rsidRPr="00154B2D">
        <w:rPr>
          <w:color w:val="auto"/>
          <w:sz w:val="24"/>
          <w:szCs w:val="24"/>
        </w:rPr>
        <w:t>np. w ramach projektów KSOW</w:t>
      </w:r>
    </w:p>
    <w:p w:rsidR="00544BAC" w:rsidRPr="00154B2D" w:rsidRDefault="00544BAC" w:rsidP="00754DBB">
      <w:pPr>
        <w:pStyle w:val="Akapitzlist"/>
        <w:numPr>
          <w:ilvl w:val="0"/>
          <w:numId w:val="9"/>
        </w:numPr>
        <w:jc w:val="both"/>
        <w:rPr>
          <w:color w:val="auto"/>
        </w:rPr>
      </w:pPr>
      <w:r w:rsidRPr="00154B2D">
        <w:rPr>
          <w:color w:val="auto"/>
          <w:sz w:val="24"/>
          <w:szCs w:val="24"/>
        </w:rPr>
        <w:t>Udzielanie konsultacji oraz organizowanie spotkań i szkoleń dot</w:t>
      </w:r>
      <w:r w:rsidRPr="00154B2D">
        <w:rPr>
          <w:color w:val="auto"/>
        </w:rPr>
        <w:t xml:space="preserve">yczących wypełniania wniosków o </w:t>
      </w:r>
      <w:r w:rsidR="00754DBB" w:rsidRPr="00154B2D">
        <w:rPr>
          <w:color w:val="auto"/>
        </w:rPr>
        <w:t>przyznanie pomocy</w:t>
      </w:r>
      <w:r w:rsidRPr="00154B2D">
        <w:rPr>
          <w:color w:val="auto"/>
        </w:rPr>
        <w:t>, skład</w:t>
      </w:r>
      <w:r w:rsidR="00754DBB" w:rsidRPr="00154B2D">
        <w:rPr>
          <w:color w:val="auto"/>
        </w:rPr>
        <w:t>anych za pośrednictwem Biura LGD</w:t>
      </w:r>
      <w:r w:rsidRPr="00154B2D">
        <w:rPr>
          <w:color w:val="auto"/>
        </w:rPr>
        <w:t>.</w:t>
      </w:r>
    </w:p>
    <w:p w:rsidR="00310340" w:rsidRDefault="00310340">
      <w:pPr>
        <w:spacing w:after="0"/>
        <w:jc w:val="both"/>
        <w:rPr>
          <w:sz w:val="24"/>
          <w:szCs w:val="24"/>
        </w:rPr>
      </w:pPr>
    </w:p>
    <w:p w:rsidR="00310340" w:rsidRDefault="00EE6735">
      <w:pPr>
        <w:jc w:val="both"/>
        <w:rPr>
          <w:sz w:val="24"/>
          <w:szCs w:val="24"/>
        </w:rPr>
      </w:pPr>
      <w:r>
        <w:rPr>
          <w:sz w:val="24"/>
          <w:szCs w:val="24"/>
        </w:rPr>
        <w:t>Prezes Stowarzyszenia Lider Pojezierza</w:t>
      </w:r>
    </w:p>
    <w:p w:rsidR="00310340" w:rsidRDefault="00EE6735">
      <w:pPr>
        <w:jc w:val="both"/>
        <w:rPr>
          <w:sz w:val="24"/>
          <w:szCs w:val="24"/>
        </w:rPr>
      </w:pPr>
      <w:r>
        <w:rPr>
          <w:sz w:val="24"/>
          <w:szCs w:val="24"/>
        </w:rPr>
        <w:t xml:space="preserve">Adam Andriaszkiewicz </w:t>
      </w:r>
    </w:p>
    <w:p w:rsidR="00310340" w:rsidRDefault="00310340"/>
    <w:p w:rsidR="00310340" w:rsidRDefault="00310340"/>
    <w:p w:rsidR="00310340" w:rsidRDefault="00310340">
      <w:bookmarkStart w:id="2" w:name="_gjdgxs" w:colFirst="0" w:colLast="0"/>
      <w:bookmarkEnd w:id="2"/>
    </w:p>
    <w:sectPr w:rsidR="00310340" w:rsidSect="00A723CC">
      <w:footerReference w:type="default" r:id="rId9"/>
      <w:pgSz w:w="11906" w:h="16838"/>
      <w:pgMar w:top="1417" w:right="1417" w:bottom="1417" w:left="1417"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18" w:rsidRDefault="00B30218">
      <w:pPr>
        <w:spacing w:after="0" w:line="240" w:lineRule="auto"/>
      </w:pPr>
      <w:r>
        <w:separator/>
      </w:r>
    </w:p>
  </w:endnote>
  <w:endnote w:type="continuationSeparator" w:id="0">
    <w:p w:rsidR="00B30218" w:rsidRDefault="00B3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40" w:rsidRDefault="00EE6735">
    <w:pPr>
      <w:jc w:val="right"/>
    </w:pPr>
    <w:r>
      <w:fldChar w:fldCharType="begin"/>
    </w:r>
    <w:r>
      <w:instrText>PAGE</w:instrText>
    </w:r>
    <w:r>
      <w:fldChar w:fldCharType="separate"/>
    </w:r>
    <w:r w:rsidR="00B3464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18" w:rsidRDefault="00B30218">
      <w:pPr>
        <w:spacing w:after="0" w:line="240" w:lineRule="auto"/>
      </w:pPr>
      <w:r>
        <w:separator/>
      </w:r>
    </w:p>
  </w:footnote>
  <w:footnote w:type="continuationSeparator" w:id="0">
    <w:p w:rsidR="00B30218" w:rsidRDefault="00B30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60ED"/>
    <w:multiLevelType w:val="hybridMultilevel"/>
    <w:tmpl w:val="6BB22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3D6F1F"/>
    <w:multiLevelType w:val="hybridMultilevel"/>
    <w:tmpl w:val="7BB08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EC2693"/>
    <w:multiLevelType w:val="multilevel"/>
    <w:tmpl w:val="1D5810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5C92E70"/>
    <w:multiLevelType w:val="multilevel"/>
    <w:tmpl w:val="53D0AE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A20262F"/>
    <w:multiLevelType w:val="multilevel"/>
    <w:tmpl w:val="2A08003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706406BC"/>
    <w:multiLevelType w:val="multilevel"/>
    <w:tmpl w:val="2E7A84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14A0455"/>
    <w:multiLevelType w:val="multilevel"/>
    <w:tmpl w:val="AB184A2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72130277"/>
    <w:multiLevelType w:val="multilevel"/>
    <w:tmpl w:val="972AC4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B7E767B"/>
    <w:multiLevelType w:val="multilevel"/>
    <w:tmpl w:val="4E9C32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7"/>
  </w:num>
  <w:num w:numId="4">
    <w:abstractNumId w:val="4"/>
  </w:num>
  <w:num w:numId="5">
    <w:abstractNumId w:val="6"/>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0340"/>
    <w:rsid w:val="00154B2D"/>
    <w:rsid w:val="00310340"/>
    <w:rsid w:val="00526B21"/>
    <w:rsid w:val="00544BAC"/>
    <w:rsid w:val="00754DBB"/>
    <w:rsid w:val="008D3A68"/>
    <w:rsid w:val="00A723CC"/>
    <w:rsid w:val="00B30218"/>
    <w:rsid w:val="00B3464D"/>
    <w:rsid w:val="00C04CF9"/>
    <w:rsid w:val="00D22330"/>
    <w:rsid w:val="00EE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6EE6"/>
  <w15:docId w15:val="{DB3C0A6C-7750-46C8-940E-2ABC62AA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l-PL" w:eastAsia="pl-PL"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Akapitzlist">
    <w:name w:val="List Paragraph"/>
    <w:basedOn w:val="Normalny"/>
    <w:uiPriority w:val="34"/>
    <w:qFormat/>
    <w:rsid w:val="00754DBB"/>
    <w:pPr>
      <w:ind w:left="720"/>
      <w:contextualSpacing/>
    </w:pPr>
  </w:style>
  <w:style w:type="paragraph" w:styleId="Nagwek">
    <w:name w:val="header"/>
    <w:basedOn w:val="Normalny"/>
    <w:link w:val="NagwekZnak"/>
    <w:uiPriority w:val="99"/>
    <w:unhideWhenUsed/>
    <w:rsid w:val="00526B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B21"/>
  </w:style>
  <w:style w:type="paragraph" w:styleId="Stopka">
    <w:name w:val="footer"/>
    <w:basedOn w:val="Normalny"/>
    <w:link w:val="StopkaZnak"/>
    <w:uiPriority w:val="99"/>
    <w:unhideWhenUsed/>
    <w:rsid w:val="00526B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B21"/>
  </w:style>
  <w:style w:type="paragraph" w:styleId="Tekstdymka">
    <w:name w:val="Balloon Text"/>
    <w:basedOn w:val="Normalny"/>
    <w:link w:val="TekstdymkaZnak"/>
    <w:uiPriority w:val="99"/>
    <w:semiHidden/>
    <w:unhideWhenUsed/>
    <w:rsid w:val="00526B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erpojezierza.pl" TargetMode="External"/><Relationship Id="rId3" Type="http://schemas.openxmlformats.org/officeDocument/2006/relationships/settings" Target="settings.xml"/><Relationship Id="rId7" Type="http://schemas.openxmlformats.org/officeDocument/2006/relationships/hyperlink" Target="http://www.liderpojezier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2174</Words>
  <Characters>13050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LGD_2</dc:creator>
  <cp:lastModifiedBy>Ireneusz Kostka</cp:lastModifiedBy>
  <cp:revision>6</cp:revision>
  <dcterms:created xsi:type="dcterms:W3CDTF">2017-06-14T12:49:00Z</dcterms:created>
  <dcterms:modified xsi:type="dcterms:W3CDTF">2017-06-14T16:13:00Z</dcterms:modified>
</cp:coreProperties>
</file>